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AB" w:rsidRPr="0020238F" w:rsidRDefault="007D33AB" w:rsidP="004516D4">
      <w:pPr>
        <w:jc w:val="center"/>
        <w:rPr>
          <w:color w:val="000000"/>
          <w:szCs w:val="24"/>
          <w:lang w:val="en-US"/>
        </w:rPr>
      </w:pPr>
    </w:p>
    <w:p w:rsidR="000F7A1E" w:rsidRPr="00140CE0" w:rsidRDefault="00895CAA" w:rsidP="005F385E">
      <w:pPr>
        <w:pStyle w:val="Heading2"/>
        <w:rPr>
          <w:lang w:val="en-US"/>
        </w:rPr>
      </w:pPr>
      <w:r w:rsidRPr="00140CE0">
        <w:rPr>
          <w:lang w:val="en-US"/>
        </w:rPr>
        <w:t xml:space="preserve">1433: </w:t>
      </w:r>
      <w:r w:rsidR="005F385E">
        <w:rPr>
          <w:lang w:val="en-US"/>
        </w:rPr>
        <w:t xml:space="preserve">FLORENCE - </w:t>
      </w:r>
      <w:r w:rsidR="00DD7815" w:rsidRPr="00140CE0">
        <w:rPr>
          <w:lang w:val="en-US"/>
        </w:rPr>
        <w:t>DIRITTA</w:t>
      </w:r>
      <w:r w:rsidR="00386E99" w:rsidRPr="00140CE0">
        <w:rPr>
          <w:lang w:val="en-US"/>
        </w:rPr>
        <w:t xml:space="preserve"> </w:t>
      </w:r>
      <w:r w:rsidR="00C36667" w:rsidRPr="00140CE0">
        <w:rPr>
          <w:lang w:val="en-US"/>
        </w:rPr>
        <w:t xml:space="preserve">AND PILUCCHINO </w:t>
      </w:r>
      <w:r w:rsidR="001B20CB" w:rsidRPr="00140CE0">
        <w:rPr>
          <w:lang w:val="en-US"/>
        </w:rPr>
        <w:t>BEFORE</w:t>
      </w:r>
      <w:r w:rsidR="00684D0E" w:rsidRPr="00140CE0">
        <w:rPr>
          <w:lang w:val="en-US"/>
        </w:rPr>
        <w:t xml:space="preserve"> THE COURT</w:t>
      </w:r>
    </w:p>
    <w:p w:rsidR="00572FD8" w:rsidRPr="005F385E" w:rsidRDefault="00B70212" w:rsidP="005F385E">
      <w:pPr>
        <w:rPr>
          <w:lang w:val="en-GB"/>
        </w:rPr>
      </w:pPr>
      <w:r w:rsidRPr="005F385E">
        <w:rPr>
          <w:lang w:val="en-GB"/>
        </w:rPr>
        <w:t>Franco Pratesi – 11</w:t>
      </w:r>
      <w:r w:rsidR="00572FD8" w:rsidRPr="005F385E">
        <w:rPr>
          <w:lang w:val="en-GB"/>
        </w:rPr>
        <w:t>.1</w:t>
      </w:r>
      <w:r w:rsidR="00097931" w:rsidRPr="005F385E">
        <w:rPr>
          <w:lang w:val="en-GB"/>
        </w:rPr>
        <w:t>2</w:t>
      </w:r>
      <w:r w:rsidR="00572FD8" w:rsidRPr="005F385E">
        <w:rPr>
          <w:lang w:val="en-GB"/>
        </w:rPr>
        <w:t>.2011</w:t>
      </w:r>
    </w:p>
    <w:p w:rsidR="00106C83" w:rsidRPr="005F385E" w:rsidRDefault="00106C83" w:rsidP="00DD7815">
      <w:pPr>
        <w:pStyle w:val="Heading2"/>
        <w:rPr>
          <w:szCs w:val="24"/>
          <w:lang w:val="en-GB"/>
        </w:rPr>
      </w:pPr>
    </w:p>
    <w:p w:rsidR="00106C83" w:rsidRPr="005F385E" w:rsidRDefault="00106C83" w:rsidP="00DD7815">
      <w:pPr>
        <w:pStyle w:val="Heading2"/>
        <w:rPr>
          <w:szCs w:val="24"/>
          <w:lang w:val="en-GB"/>
        </w:rPr>
      </w:pPr>
      <w:bookmarkStart w:id="0" w:name="_GoBack"/>
      <w:bookmarkEnd w:id="0"/>
    </w:p>
    <w:p w:rsidR="00CD7C4C" w:rsidRPr="005F385E" w:rsidRDefault="00DC7FCC" w:rsidP="00DD7815">
      <w:pPr>
        <w:pStyle w:val="Heading2"/>
        <w:rPr>
          <w:szCs w:val="24"/>
          <w:lang w:val="en-GB"/>
        </w:rPr>
      </w:pPr>
      <w:proofErr w:type="spellStart"/>
      <w:r w:rsidRPr="005F385E">
        <w:rPr>
          <w:szCs w:val="24"/>
          <w:lang w:val="en-GB"/>
        </w:rPr>
        <w:t>D</w:t>
      </w:r>
      <w:r w:rsidR="00C36667" w:rsidRPr="005F385E">
        <w:rPr>
          <w:szCs w:val="24"/>
          <w:lang w:val="en-GB"/>
        </w:rPr>
        <w:t>iritta</w:t>
      </w:r>
      <w:proofErr w:type="spellEnd"/>
      <w:r w:rsidRPr="005F385E">
        <w:rPr>
          <w:szCs w:val="24"/>
          <w:lang w:val="en-GB"/>
        </w:rPr>
        <w:t xml:space="preserve"> − the game</w:t>
      </w:r>
    </w:p>
    <w:p w:rsidR="00CD7C4C" w:rsidRPr="005F385E" w:rsidRDefault="00CD7C4C">
      <w:pPr>
        <w:rPr>
          <w:i/>
          <w:color w:val="000000"/>
          <w:szCs w:val="24"/>
          <w:lang w:val="en-GB"/>
        </w:rPr>
      </w:pPr>
    </w:p>
    <w:p w:rsidR="00572FD8" w:rsidRPr="0020238F" w:rsidRDefault="00DD7815">
      <w:pPr>
        <w:rPr>
          <w:color w:val="000000"/>
          <w:szCs w:val="24"/>
          <w:lang w:val="en-GB"/>
        </w:rPr>
      </w:pPr>
      <w:proofErr w:type="spellStart"/>
      <w:r w:rsidRPr="0020238F">
        <w:rPr>
          <w:color w:val="000000"/>
          <w:szCs w:val="24"/>
          <w:lang w:val="en-GB"/>
        </w:rPr>
        <w:t>Diritta</w:t>
      </w:r>
      <w:proofErr w:type="spellEnd"/>
      <w:r w:rsidR="00572FD8" w:rsidRPr="0020238F">
        <w:rPr>
          <w:color w:val="000000"/>
          <w:szCs w:val="24"/>
          <w:lang w:val="en-GB"/>
        </w:rPr>
        <w:t xml:space="preserve"> </w:t>
      </w:r>
      <w:r w:rsidR="0020494F" w:rsidRPr="0020238F">
        <w:rPr>
          <w:color w:val="000000"/>
          <w:szCs w:val="24"/>
          <w:lang w:val="en-GB"/>
        </w:rPr>
        <w:t xml:space="preserve">was </w:t>
      </w:r>
      <w:r w:rsidR="00572FD8" w:rsidRPr="0020238F">
        <w:rPr>
          <w:color w:val="000000"/>
          <w:szCs w:val="24"/>
          <w:lang w:val="en-GB"/>
        </w:rPr>
        <w:t>one of the first card</w:t>
      </w:r>
      <w:r w:rsidR="00097931" w:rsidRPr="0020238F">
        <w:rPr>
          <w:color w:val="000000"/>
          <w:szCs w:val="24"/>
          <w:lang w:val="en-GB"/>
        </w:rPr>
        <w:t xml:space="preserve"> </w:t>
      </w:r>
      <w:r w:rsidR="00572FD8" w:rsidRPr="0020238F">
        <w:rPr>
          <w:color w:val="000000"/>
          <w:szCs w:val="24"/>
          <w:lang w:val="en-GB"/>
        </w:rPr>
        <w:t>games documented in Florence. The w</w:t>
      </w:r>
      <w:r w:rsidR="00097931" w:rsidRPr="0020238F">
        <w:rPr>
          <w:color w:val="000000"/>
          <w:szCs w:val="24"/>
          <w:lang w:val="en-GB"/>
        </w:rPr>
        <w:t>ord simply means that the game wa</w:t>
      </w:r>
      <w:r w:rsidR="00572FD8" w:rsidRPr="0020238F">
        <w:rPr>
          <w:color w:val="000000"/>
          <w:szCs w:val="24"/>
          <w:lang w:val="en-GB"/>
        </w:rPr>
        <w:t xml:space="preserve">s played in a </w:t>
      </w:r>
      <w:r w:rsidR="00930079" w:rsidRPr="0020238F">
        <w:rPr>
          <w:color w:val="000000"/>
          <w:szCs w:val="24"/>
          <w:lang w:val="en-GB"/>
        </w:rPr>
        <w:t>“direct”</w:t>
      </w:r>
      <w:r w:rsidR="00572FD8" w:rsidRPr="0020238F">
        <w:rPr>
          <w:color w:val="000000"/>
          <w:szCs w:val="24"/>
          <w:lang w:val="en-GB"/>
        </w:rPr>
        <w:t xml:space="preserve"> way, and another game</w:t>
      </w:r>
      <w:r w:rsidR="00483236" w:rsidRPr="0020238F">
        <w:rPr>
          <w:color w:val="000000"/>
          <w:szCs w:val="24"/>
          <w:lang w:val="en-GB"/>
        </w:rPr>
        <w:t>, with various names,</w:t>
      </w:r>
      <w:r w:rsidR="00572FD8" w:rsidRPr="0020238F">
        <w:rPr>
          <w:color w:val="000000"/>
          <w:szCs w:val="24"/>
          <w:lang w:val="en-GB"/>
        </w:rPr>
        <w:t xml:space="preserve"> was often associated with it: </w:t>
      </w:r>
      <w:proofErr w:type="spellStart"/>
      <w:r w:rsidR="00036264" w:rsidRPr="0020238F">
        <w:rPr>
          <w:color w:val="000000"/>
          <w:szCs w:val="24"/>
          <w:lang w:val="en-GB"/>
        </w:rPr>
        <w:t>Torta</w:t>
      </w:r>
      <w:proofErr w:type="spellEnd"/>
      <w:r w:rsidRPr="0020238F">
        <w:rPr>
          <w:color w:val="000000"/>
          <w:szCs w:val="24"/>
          <w:lang w:val="en-GB"/>
        </w:rPr>
        <w:t>,</w:t>
      </w:r>
      <w:r w:rsidR="00572FD8" w:rsidRPr="0020238F">
        <w:rPr>
          <w:color w:val="000000"/>
          <w:szCs w:val="24"/>
          <w:lang w:val="en-GB"/>
        </w:rPr>
        <w:t xml:space="preserve"> or </w:t>
      </w:r>
      <w:proofErr w:type="spellStart"/>
      <w:r w:rsidR="00036264" w:rsidRPr="0020238F">
        <w:rPr>
          <w:color w:val="000000"/>
          <w:szCs w:val="24"/>
          <w:lang w:val="en-GB"/>
        </w:rPr>
        <w:t>Vinciperdi</w:t>
      </w:r>
      <w:proofErr w:type="spellEnd"/>
      <w:r w:rsidR="00D521EE" w:rsidRPr="0020238F">
        <w:rPr>
          <w:color w:val="000000"/>
          <w:szCs w:val="24"/>
          <w:lang w:val="en-GB"/>
        </w:rPr>
        <w:t>, or</w:t>
      </w:r>
      <w:r w:rsidR="00D521EE" w:rsidRPr="0020238F">
        <w:rPr>
          <w:i/>
          <w:color w:val="000000"/>
          <w:szCs w:val="24"/>
          <w:lang w:val="en-GB"/>
        </w:rPr>
        <w:t xml:space="preserve"> </w:t>
      </w:r>
      <w:proofErr w:type="spellStart"/>
      <w:r w:rsidR="00036264" w:rsidRPr="0020238F">
        <w:rPr>
          <w:color w:val="000000"/>
          <w:szCs w:val="24"/>
          <w:lang w:val="en-GB"/>
        </w:rPr>
        <w:t>Ritrosa</w:t>
      </w:r>
      <w:proofErr w:type="spellEnd"/>
      <w:r w:rsidR="00572FD8" w:rsidRPr="0020238F">
        <w:rPr>
          <w:color w:val="000000"/>
          <w:szCs w:val="24"/>
          <w:lang w:val="en-GB"/>
        </w:rPr>
        <w:t xml:space="preserve">. The </w:t>
      </w:r>
      <w:r w:rsidR="00483236" w:rsidRPr="0020238F">
        <w:rPr>
          <w:color w:val="000000"/>
          <w:szCs w:val="24"/>
          <w:lang w:val="en-GB"/>
        </w:rPr>
        <w:t>latter</w:t>
      </w:r>
      <w:r w:rsidR="00572FD8" w:rsidRPr="0020238F">
        <w:rPr>
          <w:color w:val="000000"/>
          <w:szCs w:val="24"/>
          <w:lang w:val="en-GB"/>
        </w:rPr>
        <w:t xml:space="preserve"> game probably was nothing else than the </w:t>
      </w:r>
      <w:r w:rsidR="00483236" w:rsidRPr="0020238F">
        <w:rPr>
          <w:color w:val="000000"/>
          <w:szCs w:val="24"/>
          <w:lang w:val="en-GB"/>
        </w:rPr>
        <w:t>former</w:t>
      </w:r>
      <w:r w:rsidR="00572FD8" w:rsidRPr="0020238F">
        <w:rPr>
          <w:color w:val="000000"/>
          <w:szCs w:val="24"/>
          <w:lang w:val="en-GB"/>
        </w:rPr>
        <w:t xml:space="preserve"> game </w:t>
      </w:r>
      <w:r w:rsidR="00483236" w:rsidRPr="0020238F">
        <w:rPr>
          <w:color w:val="000000"/>
          <w:szCs w:val="24"/>
          <w:lang w:val="en-GB"/>
        </w:rPr>
        <w:t xml:space="preserve">itself, </w:t>
      </w:r>
      <w:r w:rsidR="00572FD8" w:rsidRPr="0020238F">
        <w:rPr>
          <w:color w:val="000000"/>
          <w:szCs w:val="24"/>
          <w:lang w:val="en-GB"/>
        </w:rPr>
        <w:t>played</w:t>
      </w:r>
      <w:r w:rsidR="00483236" w:rsidRPr="0020238F">
        <w:rPr>
          <w:color w:val="000000"/>
          <w:szCs w:val="24"/>
          <w:lang w:val="en-GB"/>
        </w:rPr>
        <w:t xml:space="preserve"> however</w:t>
      </w:r>
      <w:r w:rsidR="00572FD8" w:rsidRPr="0020238F">
        <w:rPr>
          <w:color w:val="000000"/>
          <w:szCs w:val="24"/>
          <w:lang w:val="en-GB"/>
        </w:rPr>
        <w:t xml:space="preserve"> to </w:t>
      </w:r>
      <w:r w:rsidR="00D62E5F" w:rsidRPr="0020238F">
        <w:rPr>
          <w:color w:val="000000"/>
          <w:szCs w:val="24"/>
          <w:lang w:val="en-GB"/>
        </w:rPr>
        <w:t>avoid taking cards or point</w:t>
      </w:r>
      <w:r w:rsidR="00FC279B" w:rsidRPr="0020238F">
        <w:rPr>
          <w:color w:val="000000"/>
          <w:szCs w:val="24"/>
          <w:lang w:val="en-GB"/>
        </w:rPr>
        <w:t>s</w:t>
      </w:r>
      <w:r w:rsidR="00572FD8" w:rsidRPr="0020238F">
        <w:rPr>
          <w:color w:val="000000"/>
          <w:szCs w:val="24"/>
          <w:lang w:val="en-GB"/>
        </w:rPr>
        <w:t xml:space="preserve"> instead of </w:t>
      </w:r>
      <w:r w:rsidR="00D62E5F" w:rsidRPr="0020238F">
        <w:rPr>
          <w:color w:val="000000"/>
          <w:szCs w:val="24"/>
          <w:lang w:val="en-GB"/>
        </w:rPr>
        <w:t>collecting them</w:t>
      </w:r>
      <w:r w:rsidR="00572FD8" w:rsidRPr="0020238F">
        <w:rPr>
          <w:color w:val="000000"/>
          <w:szCs w:val="24"/>
          <w:lang w:val="en-GB"/>
        </w:rPr>
        <w:t xml:space="preserve">. To play in a direct way </w:t>
      </w:r>
      <w:r w:rsidR="0020494F" w:rsidRPr="0020238F">
        <w:rPr>
          <w:color w:val="000000"/>
          <w:szCs w:val="24"/>
          <w:lang w:val="en-GB"/>
        </w:rPr>
        <w:t xml:space="preserve">was </w:t>
      </w:r>
      <w:r w:rsidR="00572FD8" w:rsidRPr="0020238F">
        <w:rPr>
          <w:color w:val="000000"/>
          <w:szCs w:val="24"/>
          <w:lang w:val="en-GB"/>
        </w:rPr>
        <w:t xml:space="preserve">mentioned </w:t>
      </w:r>
      <w:r w:rsidR="00D62E5F" w:rsidRPr="0020238F">
        <w:rPr>
          <w:color w:val="000000"/>
          <w:szCs w:val="24"/>
          <w:lang w:val="en-GB"/>
        </w:rPr>
        <w:t>for various games</w:t>
      </w:r>
      <w:r w:rsidR="00572FD8" w:rsidRPr="0020238F">
        <w:rPr>
          <w:color w:val="000000"/>
          <w:szCs w:val="24"/>
          <w:lang w:val="en-GB"/>
        </w:rPr>
        <w:t xml:space="preserve">, and sometimes also attributed to the game of </w:t>
      </w:r>
      <w:r w:rsidR="00036264" w:rsidRPr="0020238F">
        <w:rPr>
          <w:color w:val="000000"/>
          <w:szCs w:val="24"/>
          <w:lang w:val="en-GB"/>
        </w:rPr>
        <w:t>Triumphs</w:t>
      </w:r>
      <w:r w:rsidR="00572FD8" w:rsidRPr="0020238F">
        <w:rPr>
          <w:color w:val="000000"/>
          <w:szCs w:val="24"/>
          <w:lang w:val="en-GB"/>
        </w:rPr>
        <w:t>. It is thus unclear whether</w:t>
      </w:r>
      <w:r w:rsidR="00D62E5F" w:rsidRPr="0020238F">
        <w:rPr>
          <w:color w:val="000000"/>
          <w:szCs w:val="24"/>
          <w:lang w:val="en-GB"/>
        </w:rPr>
        <w:t>,</w:t>
      </w:r>
      <w:r w:rsidR="00572FD8" w:rsidRPr="0020238F">
        <w:rPr>
          <w:color w:val="000000"/>
          <w:szCs w:val="24"/>
          <w:lang w:val="en-GB"/>
        </w:rPr>
        <w:t xml:space="preserve"> </w:t>
      </w:r>
      <w:r w:rsidR="00D521EE" w:rsidRPr="0020238F">
        <w:rPr>
          <w:color w:val="000000"/>
          <w:szCs w:val="24"/>
          <w:lang w:val="en-GB"/>
        </w:rPr>
        <w:t>and when</w:t>
      </w:r>
      <w:r w:rsidR="00D62E5F" w:rsidRPr="0020238F">
        <w:rPr>
          <w:color w:val="000000"/>
          <w:szCs w:val="24"/>
          <w:lang w:val="en-GB"/>
        </w:rPr>
        <w:t>,</w:t>
      </w:r>
      <w:r w:rsidR="00D521EE" w:rsidRPr="0020238F">
        <w:rPr>
          <w:color w:val="000000"/>
          <w:szCs w:val="24"/>
          <w:lang w:val="en-GB"/>
        </w:rPr>
        <w:t xml:space="preserve"> </w:t>
      </w:r>
      <w:r w:rsidR="00D62E5F" w:rsidRPr="0020238F">
        <w:rPr>
          <w:color w:val="000000"/>
          <w:szCs w:val="24"/>
          <w:lang w:val="en-GB"/>
        </w:rPr>
        <w:t>this</w:t>
      </w:r>
      <w:r w:rsidR="00572FD8" w:rsidRPr="0020238F">
        <w:rPr>
          <w:color w:val="000000"/>
          <w:szCs w:val="24"/>
          <w:lang w:val="en-GB"/>
        </w:rPr>
        <w:t xml:space="preserve"> attribute could </w:t>
      </w:r>
      <w:r w:rsidR="0020494F" w:rsidRPr="0020238F">
        <w:rPr>
          <w:color w:val="000000"/>
          <w:szCs w:val="24"/>
          <w:lang w:val="en-GB"/>
        </w:rPr>
        <w:t xml:space="preserve">either </w:t>
      </w:r>
      <w:r w:rsidR="00572FD8" w:rsidRPr="0020238F">
        <w:rPr>
          <w:color w:val="000000"/>
          <w:szCs w:val="24"/>
          <w:lang w:val="en-GB"/>
        </w:rPr>
        <w:t xml:space="preserve">be </w:t>
      </w:r>
      <w:r w:rsidR="0020494F" w:rsidRPr="0020238F">
        <w:rPr>
          <w:color w:val="000000"/>
          <w:szCs w:val="24"/>
          <w:lang w:val="en-GB"/>
        </w:rPr>
        <w:t xml:space="preserve">described </w:t>
      </w:r>
      <w:r w:rsidR="00FC279B" w:rsidRPr="0020238F">
        <w:rPr>
          <w:color w:val="000000"/>
          <w:szCs w:val="24"/>
          <w:lang w:val="en-GB"/>
        </w:rPr>
        <w:t>as a typical way of playing these games</w:t>
      </w:r>
      <w:r w:rsidR="00572FD8" w:rsidRPr="0020238F">
        <w:rPr>
          <w:color w:val="000000"/>
          <w:szCs w:val="24"/>
          <w:lang w:val="en-GB"/>
        </w:rPr>
        <w:t xml:space="preserve">, or </w:t>
      </w:r>
      <w:r w:rsidR="0020494F" w:rsidRPr="0020238F">
        <w:rPr>
          <w:color w:val="000000"/>
          <w:szCs w:val="24"/>
          <w:lang w:val="en-GB"/>
        </w:rPr>
        <w:t xml:space="preserve">rather that </w:t>
      </w:r>
      <w:r w:rsidRPr="0020238F">
        <w:rPr>
          <w:color w:val="000000"/>
          <w:szCs w:val="24"/>
          <w:lang w:val="en-GB"/>
        </w:rPr>
        <w:t xml:space="preserve">it </w:t>
      </w:r>
      <w:r w:rsidR="00483236" w:rsidRPr="0020238F">
        <w:rPr>
          <w:color w:val="000000"/>
          <w:szCs w:val="24"/>
          <w:lang w:val="en-GB"/>
        </w:rPr>
        <w:t>was used to indicate</w:t>
      </w:r>
      <w:r w:rsidR="00D521EE" w:rsidRPr="0020238F">
        <w:rPr>
          <w:color w:val="000000"/>
          <w:szCs w:val="24"/>
          <w:lang w:val="en-GB"/>
        </w:rPr>
        <w:t xml:space="preserve"> a specific</w:t>
      </w:r>
      <w:r w:rsidR="00572FD8" w:rsidRPr="0020238F">
        <w:rPr>
          <w:color w:val="000000"/>
          <w:szCs w:val="24"/>
          <w:lang w:val="en-GB"/>
        </w:rPr>
        <w:t xml:space="preserve"> card game</w:t>
      </w:r>
      <w:r w:rsidR="00483236" w:rsidRPr="0020238F">
        <w:rPr>
          <w:color w:val="000000"/>
          <w:szCs w:val="24"/>
          <w:lang w:val="en-GB"/>
        </w:rPr>
        <w:t>, as apparently occurred in Florence</w:t>
      </w:r>
      <w:r w:rsidR="00572FD8" w:rsidRPr="0020238F">
        <w:rPr>
          <w:color w:val="000000"/>
          <w:szCs w:val="24"/>
          <w:lang w:val="en-GB"/>
        </w:rPr>
        <w:t>.</w:t>
      </w:r>
    </w:p>
    <w:p w:rsidR="00D62E5F" w:rsidRPr="0020238F" w:rsidRDefault="00572FD8">
      <w:pPr>
        <w:rPr>
          <w:color w:val="000000"/>
          <w:szCs w:val="24"/>
          <w:lang w:val="en-GB"/>
        </w:rPr>
      </w:pPr>
      <w:r w:rsidRPr="0020238F">
        <w:rPr>
          <w:color w:val="000000"/>
          <w:szCs w:val="24"/>
          <w:lang w:val="en-GB"/>
        </w:rPr>
        <w:t xml:space="preserve">To my knowledge, the first time that we read of a game </w:t>
      </w:r>
      <w:r w:rsidR="00483236" w:rsidRPr="0020238F">
        <w:rPr>
          <w:color w:val="000000"/>
          <w:szCs w:val="24"/>
          <w:lang w:val="en-GB"/>
        </w:rPr>
        <w:t>“</w:t>
      </w:r>
      <w:r w:rsidRPr="0020238F">
        <w:rPr>
          <w:color w:val="000000"/>
          <w:szCs w:val="24"/>
          <w:lang w:val="en-GB"/>
        </w:rPr>
        <w:t>directly</w:t>
      </w:r>
      <w:r w:rsidR="00483236" w:rsidRPr="0020238F">
        <w:rPr>
          <w:color w:val="000000"/>
          <w:szCs w:val="24"/>
          <w:lang w:val="en-GB"/>
        </w:rPr>
        <w:t>”</w:t>
      </w:r>
      <w:r w:rsidRPr="0020238F">
        <w:rPr>
          <w:color w:val="000000"/>
          <w:szCs w:val="24"/>
          <w:lang w:val="en-GB"/>
        </w:rPr>
        <w:t xml:space="preserve"> </w:t>
      </w:r>
      <w:r w:rsidR="00483236" w:rsidRPr="0020238F">
        <w:rPr>
          <w:color w:val="000000"/>
          <w:szCs w:val="24"/>
          <w:lang w:val="en-GB"/>
        </w:rPr>
        <w:t xml:space="preserve">played </w:t>
      </w:r>
      <w:r w:rsidRPr="0020238F">
        <w:rPr>
          <w:color w:val="000000"/>
          <w:szCs w:val="24"/>
          <w:lang w:val="en-GB"/>
        </w:rPr>
        <w:t>was in 1420 in Milan.</w:t>
      </w:r>
      <w:r w:rsidR="00E13C9D" w:rsidRPr="0020238F">
        <w:rPr>
          <w:color w:val="000000"/>
          <w:szCs w:val="24"/>
          <w:lang w:val="en-GB"/>
        </w:rPr>
        <w:t xml:space="preserve"> </w:t>
      </w:r>
      <w:r w:rsidR="00050113">
        <w:rPr>
          <w:color w:val="000000"/>
          <w:szCs w:val="24"/>
          <w:lang w:val="en-GB"/>
        </w:rPr>
        <w:t>(</w:t>
      </w:r>
      <w:r w:rsidR="00050113">
        <w:rPr>
          <w:rStyle w:val="EndnoteReference"/>
          <w:color w:val="000000"/>
          <w:szCs w:val="24"/>
          <w:lang w:val="en-GB"/>
        </w:rPr>
        <w:endnoteReference w:id="1"/>
      </w:r>
      <w:r w:rsidR="00F611F9" w:rsidRPr="0020238F">
        <w:rPr>
          <w:color w:val="000000"/>
          <w:szCs w:val="24"/>
          <w:lang w:val="en-GB"/>
        </w:rPr>
        <w:t xml:space="preserve">) </w:t>
      </w:r>
      <w:r w:rsidR="00E13C9D" w:rsidRPr="0020238F">
        <w:rPr>
          <w:color w:val="000000"/>
          <w:szCs w:val="24"/>
          <w:lang w:val="en-GB"/>
        </w:rPr>
        <w:t>The attribute is here expressed in Latin:</w:t>
      </w:r>
      <w:r w:rsidR="00050113">
        <w:rPr>
          <w:color w:val="000000"/>
          <w:szCs w:val="24"/>
          <w:lang w:val="en-GB"/>
        </w:rPr>
        <w:t xml:space="preserve"> </w:t>
      </w:r>
      <w:proofErr w:type="spellStart"/>
      <w:r w:rsidR="00097931" w:rsidRPr="00050113">
        <w:rPr>
          <w:i/>
          <w:color w:val="000000"/>
          <w:szCs w:val="24"/>
          <w:lang w:val="en-US"/>
        </w:rPr>
        <w:t>secundum</w:t>
      </w:r>
      <w:proofErr w:type="spellEnd"/>
      <w:r w:rsidR="00097931" w:rsidRPr="00050113">
        <w:rPr>
          <w:i/>
          <w:color w:val="000000"/>
          <w:szCs w:val="24"/>
          <w:lang w:val="en-US"/>
        </w:rPr>
        <w:t xml:space="preserve"> </w:t>
      </w:r>
      <w:proofErr w:type="spellStart"/>
      <w:r w:rsidR="00097931" w:rsidRPr="00050113">
        <w:rPr>
          <w:i/>
          <w:color w:val="000000"/>
          <w:szCs w:val="24"/>
          <w:lang w:val="en-US"/>
        </w:rPr>
        <w:t>antiquum</w:t>
      </w:r>
      <w:proofErr w:type="spellEnd"/>
      <w:r w:rsidR="00097931" w:rsidRPr="00050113">
        <w:rPr>
          <w:i/>
          <w:color w:val="000000"/>
          <w:szCs w:val="24"/>
          <w:lang w:val="en-US"/>
        </w:rPr>
        <w:t xml:space="preserve"> et rectum </w:t>
      </w:r>
      <w:proofErr w:type="spellStart"/>
      <w:r w:rsidR="00097931" w:rsidRPr="00050113">
        <w:rPr>
          <w:i/>
          <w:color w:val="000000"/>
          <w:szCs w:val="24"/>
          <w:lang w:val="en-US"/>
        </w:rPr>
        <w:t>modum</w:t>
      </w:r>
      <w:proofErr w:type="spellEnd"/>
      <w:r w:rsidR="00097931" w:rsidRPr="0020238F">
        <w:rPr>
          <w:color w:val="000000"/>
          <w:szCs w:val="24"/>
          <w:lang w:val="en-GB"/>
        </w:rPr>
        <w:t>, according to the ancient and direct manner.</w:t>
      </w:r>
      <w:r w:rsidR="00E13C9D" w:rsidRPr="0020238F">
        <w:rPr>
          <w:color w:val="000000"/>
          <w:szCs w:val="24"/>
          <w:lang w:val="en-GB"/>
        </w:rPr>
        <w:t xml:space="preserve"> Contrary to the following cases, in which we have just the name of the game, without any further indication, here some detail is added: one puts his own card</w:t>
      </w:r>
      <w:r w:rsidR="00D521EE" w:rsidRPr="0020238F">
        <w:rPr>
          <w:color w:val="000000"/>
          <w:szCs w:val="24"/>
          <w:lang w:val="en-GB"/>
        </w:rPr>
        <w:t>s</w:t>
      </w:r>
      <w:r w:rsidR="00E13C9D" w:rsidRPr="0020238F">
        <w:rPr>
          <w:color w:val="000000"/>
          <w:szCs w:val="24"/>
          <w:lang w:val="en-GB"/>
        </w:rPr>
        <w:t xml:space="preserve"> onto the table saying for each of them its true value and nothing else; if one plays for instance the Jack of Swords, one has to say Swords</w:t>
      </w:r>
      <w:r w:rsidR="00BA57CA" w:rsidRPr="0020238F">
        <w:rPr>
          <w:color w:val="000000"/>
          <w:szCs w:val="24"/>
          <w:lang w:val="en-GB"/>
        </w:rPr>
        <w:t xml:space="preserve"> and Jack (and plausibly to use this card following the established order of the cards)</w:t>
      </w:r>
      <w:r w:rsidR="00E13C9D" w:rsidRPr="0020238F">
        <w:rPr>
          <w:color w:val="000000"/>
          <w:szCs w:val="24"/>
          <w:lang w:val="en-GB"/>
        </w:rPr>
        <w:t xml:space="preserve">. </w:t>
      </w:r>
      <w:r w:rsidR="00097931" w:rsidRPr="0020238F">
        <w:rPr>
          <w:color w:val="000000"/>
          <w:szCs w:val="24"/>
          <w:lang w:val="en-GB"/>
        </w:rPr>
        <w:t>It is evident that</w:t>
      </w:r>
      <w:r w:rsidR="00E13C9D" w:rsidRPr="0020238F">
        <w:rPr>
          <w:color w:val="000000"/>
          <w:szCs w:val="24"/>
          <w:lang w:val="en-GB"/>
        </w:rPr>
        <w:t xml:space="preserve"> this information does not explain a lot of the</w:t>
      </w:r>
      <w:r w:rsidR="00097931" w:rsidRPr="0020238F">
        <w:rPr>
          <w:color w:val="000000"/>
          <w:szCs w:val="24"/>
          <w:lang w:val="en-GB"/>
        </w:rPr>
        <w:t xml:space="preserve"> actual</w:t>
      </w:r>
      <w:r w:rsidR="00E13C9D" w:rsidRPr="0020238F">
        <w:rPr>
          <w:color w:val="000000"/>
          <w:szCs w:val="24"/>
          <w:lang w:val="en-GB"/>
        </w:rPr>
        <w:t xml:space="preserve"> rules</w:t>
      </w:r>
      <w:r w:rsidR="00DD7815" w:rsidRPr="0020238F">
        <w:rPr>
          <w:color w:val="000000"/>
          <w:szCs w:val="24"/>
          <w:lang w:val="en-GB"/>
        </w:rPr>
        <w:t xml:space="preserve"> of th</w:t>
      </w:r>
      <w:r w:rsidR="00D62E5F" w:rsidRPr="0020238F">
        <w:rPr>
          <w:color w:val="000000"/>
          <w:szCs w:val="24"/>
          <w:lang w:val="en-GB"/>
        </w:rPr>
        <w:t>e</w:t>
      </w:r>
      <w:r w:rsidR="00DD7815" w:rsidRPr="0020238F">
        <w:rPr>
          <w:color w:val="000000"/>
          <w:szCs w:val="24"/>
          <w:lang w:val="en-GB"/>
        </w:rPr>
        <w:t xml:space="preserve"> game</w:t>
      </w:r>
      <w:r w:rsidR="00E13C9D" w:rsidRPr="0020238F">
        <w:rPr>
          <w:color w:val="000000"/>
          <w:szCs w:val="24"/>
          <w:lang w:val="en-GB"/>
        </w:rPr>
        <w:t>. It seems however that some new games had been recently introduced in which the values of the cards were</w:t>
      </w:r>
      <w:r w:rsidR="00DD7815" w:rsidRPr="0020238F">
        <w:rPr>
          <w:color w:val="000000"/>
          <w:szCs w:val="24"/>
          <w:lang w:val="en-GB"/>
        </w:rPr>
        <w:t xml:space="preserve"> instead more or less upset </w:t>
      </w:r>
      <w:r w:rsidR="00E13C9D" w:rsidRPr="0020238F">
        <w:rPr>
          <w:color w:val="000000"/>
          <w:szCs w:val="24"/>
          <w:lang w:val="en-GB"/>
        </w:rPr>
        <w:t>or reversed</w:t>
      </w:r>
      <w:r w:rsidR="00D521EE" w:rsidRPr="0020238F">
        <w:rPr>
          <w:color w:val="000000"/>
          <w:szCs w:val="24"/>
          <w:lang w:val="en-GB"/>
        </w:rPr>
        <w:t xml:space="preserve"> –</w:t>
      </w:r>
      <w:r w:rsidR="00DD7815" w:rsidRPr="0020238F">
        <w:rPr>
          <w:color w:val="000000"/>
          <w:szCs w:val="24"/>
          <w:lang w:val="en-GB"/>
        </w:rPr>
        <w:t xml:space="preserve"> </w:t>
      </w:r>
      <w:r w:rsidR="00D521EE" w:rsidRPr="0020238F">
        <w:rPr>
          <w:color w:val="000000"/>
          <w:szCs w:val="24"/>
          <w:lang w:val="en-GB"/>
        </w:rPr>
        <w:t xml:space="preserve">at least </w:t>
      </w:r>
      <w:r w:rsidR="00DD7815" w:rsidRPr="0020238F">
        <w:rPr>
          <w:color w:val="000000"/>
          <w:szCs w:val="24"/>
          <w:lang w:val="en-GB"/>
        </w:rPr>
        <w:t xml:space="preserve">a </w:t>
      </w:r>
      <w:r w:rsidR="00483236" w:rsidRPr="0020238F">
        <w:rPr>
          <w:color w:val="000000"/>
          <w:szCs w:val="24"/>
          <w:lang w:val="en-GB"/>
        </w:rPr>
        <w:t>part of the</w:t>
      </w:r>
      <w:r w:rsidR="00D521EE" w:rsidRPr="0020238F">
        <w:rPr>
          <w:color w:val="000000"/>
          <w:szCs w:val="24"/>
          <w:lang w:val="en-GB"/>
        </w:rPr>
        <w:t xml:space="preserve"> cards could be played without conforming to their ostensible value.</w:t>
      </w:r>
      <w:r w:rsidR="00DD7815" w:rsidRPr="0020238F">
        <w:rPr>
          <w:color w:val="000000"/>
          <w:szCs w:val="24"/>
          <w:lang w:val="en-GB"/>
        </w:rPr>
        <w:t xml:space="preserve"> </w:t>
      </w:r>
    </w:p>
    <w:p w:rsidR="00D62E5F" w:rsidRPr="0020238F" w:rsidRDefault="00E13C9D" w:rsidP="00CD7C4C">
      <w:pPr>
        <w:rPr>
          <w:color w:val="000000"/>
          <w:szCs w:val="24"/>
          <w:lang w:val="en-GB"/>
        </w:rPr>
      </w:pPr>
      <w:r w:rsidRPr="0020238F">
        <w:rPr>
          <w:color w:val="000000"/>
          <w:szCs w:val="24"/>
          <w:lang w:val="en-GB"/>
        </w:rPr>
        <w:t xml:space="preserve">Was this the same game that we often find quoted in Florence? I have </w:t>
      </w:r>
      <w:r w:rsidR="00097931" w:rsidRPr="0020238F">
        <w:rPr>
          <w:color w:val="000000"/>
          <w:szCs w:val="24"/>
          <w:lang w:val="en-GB"/>
        </w:rPr>
        <w:t>some</w:t>
      </w:r>
      <w:r w:rsidRPr="0020238F">
        <w:rPr>
          <w:color w:val="000000"/>
          <w:szCs w:val="24"/>
          <w:lang w:val="en-GB"/>
        </w:rPr>
        <w:t xml:space="preserve"> doubts about it. What I feel certain is that </w:t>
      </w:r>
      <w:r w:rsidR="00097931" w:rsidRPr="0020238F">
        <w:rPr>
          <w:color w:val="000000"/>
          <w:szCs w:val="24"/>
          <w:lang w:val="en-GB"/>
        </w:rPr>
        <w:t xml:space="preserve">at least </w:t>
      </w:r>
      <w:r w:rsidRPr="0020238F">
        <w:rPr>
          <w:color w:val="000000"/>
          <w:szCs w:val="24"/>
          <w:lang w:val="en-GB"/>
        </w:rPr>
        <w:t xml:space="preserve">in Florence the game of </w:t>
      </w:r>
      <w:proofErr w:type="spellStart"/>
      <w:r w:rsidR="00036264" w:rsidRPr="0020238F">
        <w:rPr>
          <w:color w:val="000000"/>
          <w:szCs w:val="24"/>
          <w:lang w:val="en-GB"/>
        </w:rPr>
        <w:t>Diritta</w:t>
      </w:r>
      <w:proofErr w:type="spellEnd"/>
      <w:r w:rsidR="00036264" w:rsidRPr="0020238F">
        <w:rPr>
          <w:color w:val="000000"/>
          <w:szCs w:val="24"/>
          <w:lang w:val="en-GB"/>
        </w:rPr>
        <w:t xml:space="preserve"> </w:t>
      </w:r>
      <w:r w:rsidRPr="0020238F">
        <w:rPr>
          <w:color w:val="000000"/>
          <w:szCs w:val="24"/>
          <w:lang w:val="en-GB"/>
        </w:rPr>
        <w:t xml:space="preserve">was a traditional game, the first and the oldest to have been allowed </w:t>
      </w:r>
      <w:r w:rsidR="00097931" w:rsidRPr="0020238F">
        <w:rPr>
          <w:color w:val="000000"/>
          <w:szCs w:val="24"/>
          <w:lang w:val="en-GB"/>
        </w:rPr>
        <w:t xml:space="preserve">− together with its companion, </w:t>
      </w:r>
      <w:proofErr w:type="spellStart"/>
      <w:r w:rsidR="00036264" w:rsidRPr="0020238F">
        <w:rPr>
          <w:color w:val="000000"/>
          <w:szCs w:val="24"/>
          <w:lang w:val="en-GB"/>
        </w:rPr>
        <w:t>Vinciperdi</w:t>
      </w:r>
      <w:proofErr w:type="spellEnd"/>
      <w:r w:rsidR="00036264" w:rsidRPr="0020238F">
        <w:rPr>
          <w:color w:val="000000"/>
          <w:szCs w:val="24"/>
          <w:lang w:val="en-GB"/>
        </w:rPr>
        <w:t xml:space="preserve"> </w:t>
      </w:r>
      <w:r w:rsidR="00BA57CA" w:rsidRPr="0020238F">
        <w:rPr>
          <w:color w:val="000000"/>
          <w:szCs w:val="24"/>
          <w:lang w:val="en-GB"/>
        </w:rPr>
        <w:t>–</w:t>
      </w:r>
      <w:r w:rsidR="00097931" w:rsidRPr="0020238F">
        <w:rPr>
          <w:color w:val="000000"/>
          <w:szCs w:val="24"/>
          <w:lang w:val="en-GB"/>
        </w:rPr>
        <w:t xml:space="preserve"> </w:t>
      </w:r>
      <w:r w:rsidR="00BA57CA" w:rsidRPr="0020238F">
        <w:rPr>
          <w:color w:val="000000"/>
          <w:szCs w:val="24"/>
          <w:lang w:val="en-GB"/>
        </w:rPr>
        <w:t>by the laws of the Florentin</w:t>
      </w:r>
      <w:r w:rsidRPr="0020238F">
        <w:rPr>
          <w:color w:val="000000"/>
          <w:szCs w:val="24"/>
          <w:lang w:val="en-GB"/>
        </w:rPr>
        <w:t xml:space="preserve">e </w:t>
      </w:r>
      <w:r w:rsidR="00BA57CA" w:rsidRPr="0020238F">
        <w:rPr>
          <w:color w:val="000000"/>
          <w:szCs w:val="24"/>
          <w:lang w:val="en-GB"/>
        </w:rPr>
        <w:t xml:space="preserve">commune </w:t>
      </w:r>
      <w:r w:rsidRPr="0020238F">
        <w:rPr>
          <w:color w:val="000000"/>
          <w:szCs w:val="24"/>
          <w:lang w:val="en-GB"/>
        </w:rPr>
        <w:t xml:space="preserve">and </w:t>
      </w:r>
      <w:r w:rsidR="00BA57CA" w:rsidRPr="0020238F">
        <w:rPr>
          <w:color w:val="000000"/>
          <w:szCs w:val="24"/>
          <w:lang w:val="en-GB"/>
        </w:rPr>
        <w:t>of</w:t>
      </w:r>
      <w:r w:rsidRPr="0020238F">
        <w:rPr>
          <w:color w:val="000000"/>
          <w:szCs w:val="24"/>
          <w:lang w:val="en-GB"/>
        </w:rPr>
        <w:t xml:space="preserve"> the neighbouring </w:t>
      </w:r>
      <w:r w:rsidR="00BA57CA" w:rsidRPr="0020238F">
        <w:rPr>
          <w:color w:val="000000"/>
          <w:szCs w:val="24"/>
          <w:lang w:val="en-GB"/>
        </w:rPr>
        <w:t>ones</w:t>
      </w:r>
      <w:r w:rsidR="00097931" w:rsidRPr="0020238F">
        <w:rPr>
          <w:color w:val="000000"/>
          <w:szCs w:val="24"/>
          <w:lang w:val="en-GB"/>
        </w:rPr>
        <w:t>.</w:t>
      </w:r>
      <w:r w:rsidR="00DD7815" w:rsidRPr="0020238F">
        <w:rPr>
          <w:color w:val="000000"/>
          <w:szCs w:val="24"/>
          <w:lang w:val="en-GB"/>
        </w:rPr>
        <w:t xml:space="preserve"> </w:t>
      </w:r>
    </w:p>
    <w:p w:rsidR="00CD7C4C" w:rsidRPr="0020238F" w:rsidRDefault="00D521EE" w:rsidP="00CD7C4C">
      <w:pPr>
        <w:rPr>
          <w:color w:val="000000"/>
          <w:szCs w:val="24"/>
          <w:lang w:val="en-GB"/>
        </w:rPr>
      </w:pPr>
      <w:r w:rsidRPr="0020238F">
        <w:rPr>
          <w:color w:val="000000"/>
          <w:szCs w:val="24"/>
          <w:lang w:val="en-GB"/>
        </w:rPr>
        <w:t>I have studied the appearance of these games</w:t>
      </w:r>
      <w:r w:rsidR="00775756" w:rsidRPr="0020238F">
        <w:rPr>
          <w:color w:val="000000"/>
          <w:szCs w:val="24"/>
          <w:lang w:val="en-GB"/>
        </w:rPr>
        <w:t>.</w:t>
      </w:r>
      <w:r w:rsidR="00483236" w:rsidRPr="0020238F">
        <w:rPr>
          <w:color w:val="000000"/>
          <w:szCs w:val="24"/>
          <w:lang w:val="en-GB"/>
        </w:rPr>
        <w:t xml:space="preserve"> </w:t>
      </w:r>
      <w:r w:rsidR="00775756" w:rsidRPr="0020238F">
        <w:rPr>
          <w:color w:val="000000"/>
          <w:szCs w:val="24"/>
          <w:lang w:val="en-GB"/>
        </w:rPr>
        <w:t xml:space="preserve">Up to now, I have found several early dates and corresponding places, in which </w:t>
      </w:r>
      <w:proofErr w:type="spellStart"/>
      <w:r w:rsidR="00036264" w:rsidRPr="0020238F">
        <w:rPr>
          <w:color w:val="000000"/>
          <w:szCs w:val="24"/>
          <w:lang w:val="en-GB"/>
        </w:rPr>
        <w:t>Diritta</w:t>
      </w:r>
      <w:proofErr w:type="spellEnd"/>
      <w:r w:rsidR="00036264" w:rsidRPr="0020238F">
        <w:rPr>
          <w:color w:val="000000"/>
          <w:szCs w:val="24"/>
          <w:lang w:val="en-GB"/>
        </w:rPr>
        <w:t xml:space="preserve"> </w:t>
      </w:r>
      <w:r w:rsidR="00775756" w:rsidRPr="0020238F">
        <w:rPr>
          <w:color w:val="000000"/>
          <w:szCs w:val="24"/>
          <w:lang w:val="en-GB"/>
        </w:rPr>
        <w:t xml:space="preserve">has been documented. I feel </w:t>
      </w:r>
      <w:r w:rsidR="00FC279B" w:rsidRPr="0020238F">
        <w:rPr>
          <w:color w:val="000000"/>
          <w:szCs w:val="24"/>
          <w:lang w:val="en-GB"/>
        </w:rPr>
        <w:t xml:space="preserve">that </w:t>
      </w:r>
      <w:r w:rsidR="00775756" w:rsidRPr="0020238F">
        <w:rPr>
          <w:color w:val="000000"/>
          <w:szCs w:val="24"/>
          <w:lang w:val="en-GB"/>
        </w:rPr>
        <w:t xml:space="preserve">the following list </w:t>
      </w:r>
      <w:r w:rsidR="0075094E" w:rsidRPr="0020238F">
        <w:rPr>
          <w:color w:val="000000"/>
          <w:szCs w:val="24"/>
          <w:lang w:val="en-GB"/>
        </w:rPr>
        <w:t xml:space="preserve">taken from </w:t>
      </w:r>
      <w:r w:rsidR="00DC7FCC" w:rsidRPr="0020238F">
        <w:rPr>
          <w:color w:val="000000"/>
          <w:szCs w:val="24"/>
          <w:lang w:val="en-GB"/>
        </w:rPr>
        <w:t xml:space="preserve">the journal </w:t>
      </w:r>
      <w:r w:rsidR="0075094E" w:rsidRPr="00050113">
        <w:rPr>
          <w:i/>
          <w:color w:val="000000"/>
          <w:szCs w:val="24"/>
          <w:lang w:val="en-GB"/>
        </w:rPr>
        <w:t>The Playing-Card</w:t>
      </w:r>
      <w:r w:rsidR="0075094E" w:rsidRPr="0020238F">
        <w:rPr>
          <w:color w:val="000000"/>
          <w:szCs w:val="24"/>
          <w:lang w:val="en-GB"/>
        </w:rPr>
        <w:t xml:space="preserve"> (TPC) </w:t>
      </w:r>
      <w:r w:rsidR="00775756" w:rsidRPr="0020238F">
        <w:rPr>
          <w:color w:val="000000"/>
          <w:szCs w:val="24"/>
          <w:lang w:val="en-GB"/>
        </w:rPr>
        <w:t xml:space="preserve">is </w:t>
      </w:r>
      <w:r w:rsidR="00BA57CA" w:rsidRPr="0020238F">
        <w:rPr>
          <w:color w:val="000000"/>
          <w:szCs w:val="24"/>
          <w:lang w:val="en-GB"/>
        </w:rPr>
        <w:t>not</w:t>
      </w:r>
      <w:r w:rsidR="0055321F" w:rsidRPr="0020238F">
        <w:rPr>
          <w:color w:val="000000"/>
          <w:szCs w:val="24"/>
          <w:lang w:val="en-GB"/>
        </w:rPr>
        <w:t xml:space="preserve"> </w:t>
      </w:r>
      <w:r w:rsidR="00BA57CA" w:rsidRPr="0020238F">
        <w:rPr>
          <w:color w:val="000000"/>
          <w:szCs w:val="24"/>
          <w:lang w:val="en-GB"/>
        </w:rPr>
        <w:t xml:space="preserve">complete, but </w:t>
      </w:r>
      <w:r w:rsidR="00775756" w:rsidRPr="0020238F">
        <w:rPr>
          <w:color w:val="000000"/>
          <w:szCs w:val="24"/>
          <w:lang w:val="en-GB"/>
        </w:rPr>
        <w:t>may be useful to recognise</w:t>
      </w:r>
      <w:r w:rsidR="0055321F" w:rsidRPr="0020238F">
        <w:rPr>
          <w:color w:val="000000"/>
          <w:szCs w:val="24"/>
          <w:lang w:val="en-GB"/>
        </w:rPr>
        <w:t xml:space="preserve"> </w:t>
      </w:r>
      <w:r w:rsidR="001520BF" w:rsidRPr="0020238F">
        <w:rPr>
          <w:color w:val="000000"/>
          <w:szCs w:val="24"/>
          <w:lang w:val="en-GB"/>
        </w:rPr>
        <w:t>the</w:t>
      </w:r>
      <w:r w:rsidR="0055321F" w:rsidRPr="0020238F">
        <w:rPr>
          <w:color w:val="000000"/>
          <w:szCs w:val="24"/>
          <w:lang w:val="en-GB"/>
        </w:rPr>
        <w:t xml:space="preserve"> early spread</w:t>
      </w:r>
      <w:r w:rsidR="00D62E5F" w:rsidRPr="0020238F">
        <w:rPr>
          <w:color w:val="000000"/>
          <w:szCs w:val="24"/>
          <w:lang w:val="en-GB"/>
        </w:rPr>
        <w:t xml:space="preserve"> of the</w:t>
      </w:r>
      <w:r w:rsidR="001520BF" w:rsidRPr="0020238F">
        <w:rPr>
          <w:color w:val="000000"/>
          <w:szCs w:val="24"/>
          <w:lang w:val="en-GB"/>
        </w:rPr>
        <w:t xml:space="preserve"> game</w:t>
      </w:r>
      <w:r w:rsidR="0055321F" w:rsidRPr="0020238F">
        <w:rPr>
          <w:color w:val="000000"/>
          <w:szCs w:val="24"/>
          <w:lang w:val="en-GB"/>
        </w:rPr>
        <w:t xml:space="preserve">: </w:t>
      </w:r>
      <w:r w:rsidR="001520BF" w:rsidRPr="0020238F">
        <w:rPr>
          <w:color w:val="000000"/>
          <w:szCs w:val="24"/>
          <w:lang w:val="en-GB"/>
        </w:rPr>
        <w:t xml:space="preserve">1436 </w:t>
      </w:r>
      <w:r w:rsidR="00CD7C4C" w:rsidRPr="0020238F">
        <w:rPr>
          <w:color w:val="000000"/>
          <w:szCs w:val="24"/>
          <w:lang w:val="en-GB"/>
        </w:rPr>
        <w:t>Lucca</w:t>
      </w:r>
      <w:r w:rsidR="001520BF" w:rsidRPr="0020238F">
        <w:rPr>
          <w:color w:val="000000"/>
          <w:szCs w:val="24"/>
          <w:lang w:val="en-GB"/>
        </w:rPr>
        <w:t>;</w:t>
      </w:r>
      <w:r w:rsidR="00F611F9" w:rsidRPr="0020238F">
        <w:rPr>
          <w:color w:val="000000"/>
          <w:szCs w:val="24"/>
          <w:lang w:val="en-GB"/>
        </w:rPr>
        <w:t xml:space="preserve"> (</w:t>
      </w:r>
      <w:r w:rsidR="00050113">
        <w:rPr>
          <w:rStyle w:val="EndnoteReference"/>
          <w:color w:val="000000"/>
          <w:szCs w:val="24"/>
          <w:lang w:val="en-GB"/>
        </w:rPr>
        <w:endnoteReference w:id="2"/>
      </w:r>
      <w:r w:rsidR="00F611F9" w:rsidRPr="0020238F">
        <w:rPr>
          <w:color w:val="000000"/>
          <w:szCs w:val="24"/>
          <w:lang w:val="en-GB"/>
        </w:rPr>
        <w:t>)</w:t>
      </w:r>
      <w:r w:rsidR="004F721D" w:rsidRPr="0020238F">
        <w:rPr>
          <w:color w:val="000000"/>
          <w:szCs w:val="24"/>
          <w:lang w:val="en-GB"/>
        </w:rPr>
        <w:t xml:space="preserve"> </w:t>
      </w:r>
      <w:r w:rsidR="001520BF" w:rsidRPr="0020238F">
        <w:rPr>
          <w:color w:val="000000"/>
          <w:szCs w:val="24"/>
          <w:lang w:val="en-GB"/>
        </w:rPr>
        <w:t xml:space="preserve">1437 </w:t>
      </w:r>
      <w:proofErr w:type="spellStart"/>
      <w:r w:rsidR="00CD7C4C" w:rsidRPr="0020238F">
        <w:rPr>
          <w:color w:val="000000"/>
          <w:szCs w:val="24"/>
          <w:lang w:val="en-GB"/>
        </w:rPr>
        <w:t>Borgo</w:t>
      </w:r>
      <w:proofErr w:type="spellEnd"/>
      <w:r w:rsidR="00CD7C4C" w:rsidRPr="0020238F">
        <w:rPr>
          <w:color w:val="000000"/>
          <w:szCs w:val="24"/>
          <w:lang w:val="en-GB"/>
        </w:rPr>
        <w:t xml:space="preserve"> S. Lorenzo</w:t>
      </w:r>
      <w:r w:rsidR="001520BF" w:rsidRPr="0020238F">
        <w:rPr>
          <w:color w:val="000000"/>
          <w:szCs w:val="24"/>
          <w:lang w:val="en-GB"/>
        </w:rPr>
        <w:t>;</w:t>
      </w:r>
      <w:r w:rsidR="00F611F9" w:rsidRPr="0020238F">
        <w:rPr>
          <w:color w:val="000000"/>
          <w:szCs w:val="24"/>
          <w:lang w:val="en-GB"/>
        </w:rPr>
        <w:t xml:space="preserve"> (</w:t>
      </w:r>
      <w:r w:rsidR="00050113">
        <w:rPr>
          <w:rStyle w:val="EndnoteReference"/>
          <w:color w:val="000000"/>
          <w:szCs w:val="24"/>
          <w:lang w:val="en-GB"/>
        </w:rPr>
        <w:endnoteReference w:id="3"/>
      </w:r>
      <w:r w:rsidR="00F611F9" w:rsidRPr="0020238F">
        <w:rPr>
          <w:color w:val="000000"/>
          <w:szCs w:val="24"/>
          <w:lang w:val="en-GB"/>
        </w:rPr>
        <w:t>)</w:t>
      </w:r>
      <w:r w:rsidR="001520BF" w:rsidRPr="0020238F">
        <w:rPr>
          <w:color w:val="000000"/>
          <w:szCs w:val="24"/>
          <w:lang w:val="en-GB"/>
        </w:rPr>
        <w:t xml:space="preserve"> </w:t>
      </w:r>
      <w:r w:rsidR="0055321F" w:rsidRPr="0020238F">
        <w:rPr>
          <w:color w:val="000000"/>
          <w:szCs w:val="24"/>
          <w:lang w:val="en-GB"/>
        </w:rPr>
        <w:t xml:space="preserve">1445 </w:t>
      </w:r>
      <w:r w:rsidR="00CD7C4C" w:rsidRPr="0020238F">
        <w:rPr>
          <w:color w:val="000000"/>
          <w:szCs w:val="24"/>
          <w:lang w:val="en-GB"/>
        </w:rPr>
        <w:t xml:space="preserve">Sesto </w:t>
      </w:r>
      <w:proofErr w:type="spellStart"/>
      <w:r w:rsidR="00CD7C4C" w:rsidRPr="0020238F">
        <w:rPr>
          <w:color w:val="000000"/>
          <w:szCs w:val="24"/>
          <w:lang w:val="en-GB"/>
        </w:rPr>
        <w:t>Fiorentino</w:t>
      </w:r>
      <w:proofErr w:type="spellEnd"/>
      <w:r w:rsidR="001520BF" w:rsidRPr="0020238F">
        <w:rPr>
          <w:color w:val="000000"/>
          <w:szCs w:val="24"/>
          <w:lang w:val="en-GB"/>
        </w:rPr>
        <w:t>;</w:t>
      </w:r>
      <w:r w:rsidR="00F611F9" w:rsidRPr="0020238F">
        <w:rPr>
          <w:color w:val="000000"/>
          <w:szCs w:val="24"/>
          <w:lang w:val="en-GB"/>
        </w:rPr>
        <w:t>(</w:t>
      </w:r>
      <w:r w:rsidR="00050113">
        <w:rPr>
          <w:rStyle w:val="EndnoteReference"/>
          <w:color w:val="000000"/>
          <w:szCs w:val="24"/>
          <w:lang w:val="en-GB"/>
        </w:rPr>
        <w:endnoteReference w:id="4"/>
      </w:r>
      <w:r w:rsidR="00F611F9" w:rsidRPr="0020238F">
        <w:rPr>
          <w:color w:val="000000"/>
          <w:szCs w:val="24"/>
          <w:lang w:val="en-GB"/>
        </w:rPr>
        <w:t>)</w:t>
      </w:r>
      <w:r w:rsidR="0055321F" w:rsidRPr="0020238F">
        <w:rPr>
          <w:color w:val="000000"/>
          <w:szCs w:val="24"/>
          <w:lang w:val="en-GB"/>
        </w:rPr>
        <w:t xml:space="preserve"> 1448 </w:t>
      </w:r>
      <w:proofErr w:type="spellStart"/>
      <w:r w:rsidR="00CD7C4C" w:rsidRPr="0020238F">
        <w:rPr>
          <w:color w:val="000000"/>
          <w:szCs w:val="24"/>
          <w:lang w:val="en-GB"/>
        </w:rPr>
        <w:t>Calenzano</w:t>
      </w:r>
      <w:proofErr w:type="spellEnd"/>
      <w:r w:rsidR="001520BF" w:rsidRPr="0020238F">
        <w:rPr>
          <w:color w:val="000000"/>
          <w:szCs w:val="24"/>
          <w:lang w:val="en-GB"/>
        </w:rPr>
        <w:t>;</w:t>
      </w:r>
      <w:r w:rsidR="00F611F9" w:rsidRPr="0020238F">
        <w:rPr>
          <w:color w:val="000000"/>
          <w:szCs w:val="24"/>
          <w:lang w:val="en-GB"/>
        </w:rPr>
        <w:t xml:space="preserve"> (</w:t>
      </w:r>
      <w:r w:rsidR="00050113">
        <w:rPr>
          <w:rStyle w:val="EndnoteReference"/>
          <w:color w:val="000000"/>
          <w:szCs w:val="24"/>
          <w:lang w:val="en-GB"/>
        </w:rPr>
        <w:endnoteReference w:id="5"/>
      </w:r>
      <w:r w:rsidR="00F611F9" w:rsidRPr="0020238F">
        <w:rPr>
          <w:color w:val="000000"/>
          <w:szCs w:val="24"/>
          <w:lang w:val="en-GB"/>
        </w:rPr>
        <w:t>)</w:t>
      </w:r>
      <w:r w:rsidR="004F0549" w:rsidRPr="0020238F">
        <w:rPr>
          <w:color w:val="000000"/>
          <w:szCs w:val="24"/>
          <w:lang w:val="en-GB"/>
        </w:rPr>
        <w:t xml:space="preserve"> </w:t>
      </w:r>
      <w:r w:rsidR="0055321F" w:rsidRPr="0020238F">
        <w:rPr>
          <w:color w:val="000000"/>
          <w:szCs w:val="24"/>
          <w:lang w:val="en-GB"/>
        </w:rPr>
        <w:t xml:space="preserve">1450 </w:t>
      </w:r>
      <w:r w:rsidR="00CD7C4C" w:rsidRPr="0020238F">
        <w:rPr>
          <w:color w:val="000000"/>
          <w:szCs w:val="24"/>
          <w:lang w:val="en-GB"/>
        </w:rPr>
        <w:t>Florence</w:t>
      </w:r>
      <w:r w:rsidR="001520BF" w:rsidRPr="0020238F">
        <w:rPr>
          <w:color w:val="000000"/>
          <w:szCs w:val="24"/>
          <w:lang w:val="en-GB"/>
        </w:rPr>
        <w:t>;</w:t>
      </w:r>
      <w:r w:rsidR="0055321F" w:rsidRPr="0020238F">
        <w:rPr>
          <w:color w:val="000000"/>
          <w:szCs w:val="24"/>
          <w:lang w:val="en-GB"/>
        </w:rPr>
        <w:t xml:space="preserve"> </w:t>
      </w:r>
      <w:r w:rsidR="00F611F9" w:rsidRPr="0020238F">
        <w:rPr>
          <w:color w:val="000000"/>
          <w:szCs w:val="24"/>
          <w:lang w:val="en-GB"/>
        </w:rPr>
        <w:t>(</w:t>
      </w:r>
      <w:r w:rsidR="00050113">
        <w:rPr>
          <w:rStyle w:val="EndnoteReference"/>
          <w:color w:val="000000"/>
          <w:szCs w:val="24"/>
          <w:lang w:val="en-GB"/>
        </w:rPr>
        <w:endnoteReference w:id="6"/>
      </w:r>
      <w:r w:rsidR="00F611F9" w:rsidRPr="0020238F">
        <w:rPr>
          <w:color w:val="000000"/>
          <w:szCs w:val="24"/>
          <w:lang w:val="en-GB"/>
        </w:rPr>
        <w:t xml:space="preserve">) </w:t>
      </w:r>
      <w:r w:rsidR="00B94729" w:rsidRPr="0020238F">
        <w:rPr>
          <w:color w:val="000000"/>
          <w:szCs w:val="24"/>
          <w:lang w:val="en-GB"/>
        </w:rPr>
        <w:t xml:space="preserve">1450 </w:t>
      </w:r>
      <w:proofErr w:type="spellStart"/>
      <w:r w:rsidR="00B94729" w:rsidRPr="0020238F">
        <w:rPr>
          <w:color w:val="000000"/>
          <w:szCs w:val="24"/>
          <w:lang w:val="en-GB"/>
        </w:rPr>
        <w:t>Gambassi</w:t>
      </w:r>
      <w:proofErr w:type="spellEnd"/>
      <w:r w:rsidR="00B94729" w:rsidRPr="0020238F">
        <w:rPr>
          <w:color w:val="000000"/>
          <w:szCs w:val="24"/>
          <w:lang w:val="en-GB"/>
        </w:rPr>
        <w:t>;</w:t>
      </w:r>
      <w:r w:rsidR="00F611F9" w:rsidRPr="0020238F">
        <w:rPr>
          <w:color w:val="000000"/>
          <w:szCs w:val="24"/>
          <w:lang w:val="en-GB"/>
        </w:rPr>
        <w:t xml:space="preserve"> (</w:t>
      </w:r>
      <w:r w:rsidR="00050113">
        <w:rPr>
          <w:rStyle w:val="EndnoteReference"/>
          <w:color w:val="000000"/>
          <w:szCs w:val="24"/>
          <w:lang w:val="en-GB"/>
        </w:rPr>
        <w:endnoteReference w:id="7"/>
      </w:r>
      <w:r w:rsidR="00F611F9" w:rsidRPr="0020238F">
        <w:rPr>
          <w:color w:val="000000"/>
          <w:szCs w:val="24"/>
          <w:lang w:val="en-GB"/>
        </w:rPr>
        <w:t>)</w:t>
      </w:r>
      <w:r w:rsidR="00DD7815" w:rsidRPr="0020238F">
        <w:rPr>
          <w:color w:val="000000"/>
          <w:szCs w:val="24"/>
          <w:lang w:val="en-GB"/>
        </w:rPr>
        <w:t xml:space="preserve"> </w:t>
      </w:r>
      <w:r w:rsidR="0055321F" w:rsidRPr="0020238F">
        <w:rPr>
          <w:color w:val="000000"/>
          <w:szCs w:val="24"/>
          <w:lang w:val="en-GB"/>
        </w:rPr>
        <w:t xml:space="preserve">1459 </w:t>
      </w:r>
      <w:proofErr w:type="spellStart"/>
      <w:r w:rsidR="00CD7C4C" w:rsidRPr="0020238F">
        <w:rPr>
          <w:color w:val="000000"/>
          <w:szCs w:val="24"/>
          <w:lang w:val="en-GB"/>
        </w:rPr>
        <w:t>Volterra</w:t>
      </w:r>
      <w:proofErr w:type="spellEnd"/>
      <w:r w:rsidR="0055321F" w:rsidRPr="0020238F">
        <w:rPr>
          <w:color w:val="000000"/>
          <w:szCs w:val="24"/>
          <w:lang w:val="en-GB"/>
        </w:rPr>
        <w:t>.</w:t>
      </w:r>
      <w:r w:rsidR="00F611F9" w:rsidRPr="0020238F">
        <w:rPr>
          <w:color w:val="000000"/>
          <w:szCs w:val="24"/>
          <w:lang w:val="en-GB"/>
        </w:rPr>
        <w:t xml:space="preserve"> (</w:t>
      </w:r>
      <w:r w:rsidR="00050113">
        <w:rPr>
          <w:rStyle w:val="EndnoteReference"/>
          <w:color w:val="000000"/>
          <w:szCs w:val="24"/>
          <w:lang w:val="en-GB"/>
        </w:rPr>
        <w:endnoteReference w:id="8"/>
      </w:r>
      <w:r w:rsidR="00F611F9" w:rsidRPr="0020238F">
        <w:rPr>
          <w:color w:val="000000"/>
          <w:szCs w:val="24"/>
          <w:lang w:val="en-GB"/>
        </w:rPr>
        <w:t>)</w:t>
      </w:r>
      <w:r w:rsidR="00483236" w:rsidRPr="0020238F">
        <w:rPr>
          <w:color w:val="000000"/>
          <w:szCs w:val="24"/>
          <w:lang w:val="en-GB"/>
        </w:rPr>
        <w:t xml:space="preserve"> </w:t>
      </w:r>
      <w:r w:rsidR="0055321F" w:rsidRPr="0020238F">
        <w:rPr>
          <w:color w:val="000000"/>
          <w:szCs w:val="24"/>
          <w:lang w:val="en-GB"/>
        </w:rPr>
        <w:t>The first</w:t>
      </w:r>
      <w:r w:rsidR="00CD7C4C" w:rsidRPr="0020238F">
        <w:rPr>
          <w:color w:val="000000"/>
          <w:szCs w:val="24"/>
          <w:lang w:val="en-GB"/>
        </w:rPr>
        <w:t xml:space="preserve"> dates </w:t>
      </w:r>
      <w:r w:rsidR="0055321F" w:rsidRPr="0020238F">
        <w:rPr>
          <w:color w:val="000000"/>
          <w:szCs w:val="24"/>
          <w:lang w:val="en-GB"/>
        </w:rPr>
        <w:t>mentioned are</w:t>
      </w:r>
      <w:r w:rsidR="00CD7C4C" w:rsidRPr="0020238F">
        <w:rPr>
          <w:color w:val="000000"/>
          <w:szCs w:val="24"/>
          <w:lang w:val="en-GB"/>
        </w:rPr>
        <w:t xml:space="preserve"> somewhat earlier than the first documents on </w:t>
      </w:r>
      <w:proofErr w:type="spellStart"/>
      <w:r w:rsidR="00036264" w:rsidRPr="0020238F">
        <w:rPr>
          <w:color w:val="000000"/>
          <w:szCs w:val="24"/>
          <w:lang w:val="en-GB"/>
        </w:rPr>
        <w:t>Trionfo</w:t>
      </w:r>
      <w:proofErr w:type="spellEnd"/>
      <w:r w:rsidR="00CD7C4C" w:rsidRPr="0020238F">
        <w:rPr>
          <w:color w:val="000000"/>
          <w:szCs w:val="24"/>
          <w:lang w:val="en-GB"/>
        </w:rPr>
        <w:t xml:space="preserve">, but the last ones correspond to </w:t>
      </w:r>
      <w:r w:rsidR="0055321F" w:rsidRPr="0020238F">
        <w:rPr>
          <w:color w:val="000000"/>
          <w:szCs w:val="24"/>
          <w:lang w:val="en-GB"/>
        </w:rPr>
        <w:t>a time</w:t>
      </w:r>
      <w:r w:rsidR="00CD7C4C" w:rsidRPr="0020238F">
        <w:rPr>
          <w:color w:val="000000"/>
          <w:szCs w:val="24"/>
          <w:lang w:val="en-GB"/>
        </w:rPr>
        <w:t xml:space="preserve">, in which </w:t>
      </w:r>
      <w:proofErr w:type="spellStart"/>
      <w:r w:rsidR="00036264" w:rsidRPr="0020238F">
        <w:rPr>
          <w:color w:val="000000"/>
          <w:szCs w:val="24"/>
          <w:lang w:val="en-GB"/>
        </w:rPr>
        <w:t>Trionfo</w:t>
      </w:r>
      <w:proofErr w:type="spellEnd"/>
      <w:r w:rsidR="00036264" w:rsidRPr="0020238F">
        <w:rPr>
          <w:color w:val="000000"/>
          <w:szCs w:val="24"/>
          <w:lang w:val="en-GB"/>
        </w:rPr>
        <w:t xml:space="preserve"> </w:t>
      </w:r>
      <w:r w:rsidR="00CD7C4C" w:rsidRPr="0020238F">
        <w:rPr>
          <w:color w:val="000000"/>
          <w:szCs w:val="24"/>
          <w:lang w:val="en-GB"/>
        </w:rPr>
        <w:t xml:space="preserve">had become a valid </w:t>
      </w:r>
      <w:r w:rsidR="00831BCE" w:rsidRPr="0020238F">
        <w:rPr>
          <w:color w:val="000000"/>
          <w:szCs w:val="24"/>
          <w:lang w:val="en-GB"/>
        </w:rPr>
        <w:t>challenger</w:t>
      </w:r>
      <w:r w:rsidR="00CD7C4C" w:rsidRPr="0020238F">
        <w:rPr>
          <w:color w:val="000000"/>
          <w:szCs w:val="24"/>
          <w:lang w:val="en-GB"/>
        </w:rPr>
        <w:t xml:space="preserve"> and </w:t>
      </w:r>
      <w:r w:rsidR="00831BCE" w:rsidRPr="0020238F">
        <w:rPr>
          <w:color w:val="000000"/>
          <w:szCs w:val="24"/>
          <w:lang w:val="en-GB"/>
        </w:rPr>
        <w:t>seemingly</w:t>
      </w:r>
      <w:r w:rsidR="00CD7C4C" w:rsidRPr="0020238F">
        <w:rPr>
          <w:color w:val="000000"/>
          <w:szCs w:val="24"/>
          <w:lang w:val="en-GB"/>
        </w:rPr>
        <w:t xml:space="preserve"> the </w:t>
      </w:r>
      <w:r w:rsidR="00F65FCD" w:rsidRPr="0020238F">
        <w:rPr>
          <w:color w:val="000000"/>
          <w:szCs w:val="24"/>
          <w:lang w:val="en-GB"/>
        </w:rPr>
        <w:t>first</w:t>
      </w:r>
      <w:r w:rsidR="00CD7C4C" w:rsidRPr="0020238F">
        <w:rPr>
          <w:color w:val="000000"/>
          <w:szCs w:val="24"/>
          <w:lang w:val="en-GB"/>
        </w:rPr>
        <w:t xml:space="preserve"> </w:t>
      </w:r>
      <w:r w:rsidR="00FC279B" w:rsidRPr="0020238F">
        <w:rPr>
          <w:color w:val="000000"/>
          <w:szCs w:val="24"/>
          <w:lang w:val="en-GB"/>
        </w:rPr>
        <w:t>offspring</w:t>
      </w:r>
      <w:r w:rsidR="00CD7C4C" w:rsidRPr="0020238F">
        <w:rPr>
          <w:color w:val="000000"/>
          <w:szCs w:val="24"/>
          <w:lang w:val="en-GB"/>
        </w:rPr>
        <w:t xml:space="preserve"> of </w:t>
      </w:r>
      <w:proofErr w:type="spellStart"/>
      <w:r w:rsidR="00036264" w:rsidRPr="0020238F">
        <w:rPr>
          <w:color w:val="000000"/>
          <w:szCs w:val="24"/>
          <w:lang w:val="en-GB"/>
        </w:rPr>
        <w:t>Diritta</w:t>
      </w:r>
      <w:proofErr w:type="spellEnd"/>
      <w:r w:rsidR="00CD7C4C" w:rsidRPr="0020238F">
        <w:rPr>
          <w:color w:val="000000"/>
          <w:szCs w:val="24"/>
          <w:lang w:val="en-GB"/>
        </w:rPr>
        <w:t xml:space="preserve">. </w:t>
      </w:r>
    </w:p>
    <w:p w:rsidR="00483236" w:rsidRPr="0020238F" w:rsidRDefault="00483236" w:rsidP="00483236">
      <w:pPr>
        <w:rPr>
          <w:color w:val="000000"/>
          <w:szCs w:val="24"/>
          <w:lang w:val="en-GB"/>
        </w:rPr>
      </w:pPr>
      <w:r w:rsidRPr="0020238F">
        <w:rPr>
          <w:color w:val="000000"/>
          <w:szCs w:val="24"/>
          <w:lang w:val="en-GB"/>
        </w:rPr>
        <w:t xml:space="preserve">I know that with </w:t>
      </w:r>
      <w:r w:rsidR="0020238F" w:rsidRPr="0020238F">
        <w:rPr>
          <w:color w:val="000000"/>
          <w:szCs w:val="24"/>
          <w:lang w:val="en-GB"/>
        </w:rPr>
        <w:t>Naibi</w:t>
      </w:r>
      <w:r w:rsidRPr="0020238F">
        <w:rPr>
          <w:color w:val="000000"/>
          <w:szCs w:val="24"/>
          <w:lang w:val="en-GB"/>
        </w:rPr>
        <w:t xml:space="preserve"> it was possible to play further games, and especially gambling games of a </w:t>
      </w:r>
      <w:r w:rsidR="00BA57CA" w:rsidRPr="0020238F">
        <w:rPr>
          <w:color w:val="000000"/>
          <w:szCs w:val="24"/>
          <w:lang w:val="en-GB"/>
        </w:rPr>
        <w:t>substantially</w:t>
      </w:r>
      <w:r w:rsidRPr="0020238F">
        <w:rPr>
          <w:color w:val="000000"/>
          <w:szCs w:val="24"/>
          <w:lang w:val="en-GB"/>
        </w:rPr>
        <w:t xml:space="preserve"> different character with respect to </w:t>
      </w:r>
      <w:proofErr w:type="spellStart"/>
      <w:r w:rsidR="00036264" w:rsidRPr="0020238F">
        <w:rPr>
          <w:color w:val="000000"/>
          <w:szCs w:val="24"/>
          <w:lang w:val="en-GB"/>
        </w:rPr>
        <w:t>Diritta</w:t>
      </w:r>
      <w:proofErr w:type="spellEnd"/>
      <w:r w:rsidRPr="0020238F">
        <w:rPr>
          <w:color w:val="000000"/>
          <w:szCs w:val="24"/>
          <w:lang w:val="en-GB"/>
        </w:rPr>
        <w:t xml:space="preserve">. Some of these gambling games, such as </w:t>
      </w:r>
      <w:proofErr w:type="spellStart"/>
      <w:r w:rsidR="00036264" w:rsidRPr="0020238F">
        <w:rPr>
          <w:color w:val="000000"/>
          <w:szCs w:val="24"/>
          <w:lang w:val="en-GB"/>
        </w:rPr>
        <w:t>Condannata</w:t>
      </w:r>
      <w:proofErr w:type="spellEnd"/>
      <w:r w:rsidR="00036264" w:rsidRPr="0020238F">
        <w:rPr>
          <w:color w:val="000000"/>
          <w:szCs w:val="24"/>
          <w:lang w:val="en-GB"/>
        </w:rPr>
        <w:t xml:space="preserve"> </w:t>
      </w:r>
      <w:r w:rsidRPr="0020238F">
        <w:rPr>
          <w:color w:val="000000"/>
          <w:szCs w:val="24"/>
          <w:lang w:val="en-GB"/>
        </w:rPr>
        <w:t xml:space="preserve">and </w:t>
      </w:r>
      <w:proofErr w:type="spellStart"/>
      <w:r w:rsidR="00036264" w:rsidRPr="0020238F">
        <w:rPr>
          <w:color w:val="000000"/>
          <w:szCs w:val="24"/>
          <w:lang w:val="en-GB"/>
        </w:rPr>
        <w:t>Terza</w:t>
      </w:r>
      <w:proofErr w:type="spellEnd"/>
      <w:r w:rsidR="00036264" w:rsidRPr="0020238F">
        <w:rPr>
          <w:i/>
          <w:color w:val="000000"/>
          <w:szCs w:val="24"/>
          <w:lang w:val="en-GB"/>
        </w:rPr>
        <w:t xml:space="preserve"> </w:t>
      </w:r>
      <w:r w:rsidRPr="0020238F">
        <w:rPr>
          <w:color w:val="000000"/>
          <w:szCs w:val="24"/>
          <w:lang w:val="en-GB"/>
        </w:rPr>
        <w:t xml:space="preserve">e </w:t>
      </w:r>
      <w:proofErr w:type="spellStart"/>
      <w:r w:rsidRPr="0020238F">
        <w:rPr>
          <w:color w:val="000000"/>
          <w:szCs w:val="24"/>
          <w:lang w:val="en-GB"/>
        </w:rPr>
        <w:t>quarta</w:t>
      </w:r>
      <w:proofErr w:type="spellEnd"/>
      <w:r w:rsidRPr="0020238F">
        <w:rPr>
          <w:color w:val="000000"/>
          <w:szCs w:val="24"/>
          <w:lang w:val="en-GB"/>
        </w:rPr>
        <w:t xml:space="preserve">, are mentioned earlier than </w:t>
      </w:r>
      <w:proofErr w:type="spellStart"/>
      <w:r w:rsidR="00036264" w:rsidRPr="0020238F">
        <w:rPr>
          <w:color w:val="000000"/>
          <w:szCs w:val="24"/>
          <w:lang w:val="en-GB"/>
        </w:rPr>
        <w:t>Diritta</w:t>
      </w:r>
      <w:proofErr w:type="spellEnd"/>
      <w:r w:rsidR="00036264" w:rsidRPr="0020238F">
        <w:rPr>
          <w:color w:val="000000"/>
          <w:szCs w:val="24"/>
          <w:lang w:val="en-GB"/>
        </w:rPr>
        <w:t xml:space="preserve"> </w:t>
      </w:r>
      <w:r w:rsidR="00BC0C60" w:rsidRPr="0020238F">
        <w:rPr>
          <w:color w:val="000000"/>
          <w:szCs w:val="24"/>
          <w:lang w:val="en-GB"/>
        </w:rPr>
        <w:t>itself</w:t>
      </w:r>
      <w:r w:rsidRPr="0020238F">
        <w:rPr>
          <w:color w:val="000000"/>
          <w:szCs w:val="24"/>
          <w:lang w:val="en-GB"/>
        </w:rPr>
        <w:t xml:space="preserve">; however, these gambling systems could have been introduced </w:t>
      </w:r>
      <w:r w:rsidR="00C413DF" w:rsidRPr="0020238F">
        <w:rPr>
          <w:color w:val="000000"/>
          <w:szCs w:val="24"/>
          <w:lang w:val="en-GB"/>
        </w:rPr>
        <w:t>instantly − by</w:t>
      </w:r>
      <w:r w:rsidR="00BA57CA" w:rsidRPr="0020238F">
        <w:rPr>
          <w:color w:val="000000"/>
          <w:szCs w:val="24"/>
          <w:lang w:val="en-GB"/>
        </w:rPr>
        <w:t xml:space="preserve"> </w:t>
      </w:r>
      <w:r w:rsidRPr="0020238F">
        <w:rPr>
          <w:color w:val="000000"/>
          <w:szCs w:val="24"/>
          <w:lang w:val="en-GB"/>
        </w:rPr>
        <w:t xml:space="preserve">adapting the rules of one or another of the </w:t>
      </w:r>
      <w:r w:rsidR="00D62E5F" w:rsidRPr="0020238F">
        <w:rPr>
          <w:color w:val="000000"/>
          <w:szCs w:val="24"/>
          <w:lang w:val="en-GB"/>
        </w:rPr>
        <w:t>ancient</w:t>
      </w:r>
      <w:r w:rsidRPr="0020238F">
        <w:rPr>
          <w:color w:val="000000"/>
          <w:szCs w:val="24"/>
          <w:lang w:val="en-GB"/>
        </w:rPr>
        <w:t xml:space="preserve"> dice games to the new playing cards</w:t>
      </w:r>
      <w:r w:rsidR="00C413DF" w:rsidRPr="0020238F">
        <w:rPr>
          <w:color w:val="000000"/>
          <w:szCs w:val="24"/>
          <w:lang w:val="en-GB"/>
        </w:rPr>
        <w:t xml:space="preserve"> − </w:t>
      </w:r>
      <w:r w:rsidRPr="0020238F">
        <w:rPr>
          <w:color w:val="000000"/>
          <w:szCs w:val="24"/>
          <w:lang w:val="en-GB"/>
        </w:rPr>
        <w:t xml:space="preserve">whereas when we find </w:t>
      </w:r>
      <w:proofErr w:type="spellStart"/>
      <w:r w:rsidR="00036264" w:rsidRPr="0020238F">
        <w:rPr>
          <w:color w:val="000000"/>
          <w:szCs w:val="24"/>
          <w:lang w:val="en-GB"/>
        </w:rPr>
        <w:t>Diritta</w:t>
      </w:r>
      <w:proofErr w:type="spellEnd"/>
      <w:r w:rsidR="00036264" w:rsidRPr="0020238F">
        <w:rPr>
          <w:color w:val="000000"/>
          <w:szCs w:val="24"/>
          <w:lang w:val="en-GB"/>
        </w:rPr>
        <w:t xml:space="preserve"> </w:t>
      </w:r>
      <w:r w:rsidRPr="0020238F">
        <w:rPr>
          <w:color w:val="000000"/>
          <w:szCs w:val="24"/>
          <w:lang w:val="en-GB"/>
        </w:rPr>
        <w:t xml:space="preserve">mentioned it appears as a traditional well-established </w:t>
      </w:r>
      <w:r w:rsidR="00DC7FCC" w:rsidRPr="0020238F">
        <w:rPr>
          <w:color w:val="000000"/>
          <w:szCs w:val="24"/>
          <w:lang w:val="en-GB"/>
        </w:rPr>
        <w:t xml:space="preserve">card </w:t>
      </w:r>
      <w:r w:rsidRPr="0020238F">
        <w:rPr>
          <w:color w:val="000000"/>
          <w:szCs w:val="24"/>
          <w:lang w:val="en-GB"/>
        </w:rPr>
        <w:t xml:space="preserve">game, and I even suppose that it was </w:t>
      </w:r>
      <w:r w:rsidR="0020238F" w:rsidRPr="0020238F">
        <w:rPr>
          <w:color w:val="000000"/>
          <w:szCs w:val="24"/>
          <w:lang w:val="en-GB"/>
        </w:rPr>
        <w:t>THE</w:t>
      </w:r>
      <w:r w:rsidR="000A3DDD" w:rsidRPr="0020238F">
        <w:rPr>
          <w:color w:val="000000"/>
          <w:szCs w:val="24"/>
          <w:lang w:val="en-GB"/>
        </w:rPr>
        <w:t xml:space="preserve"> </w:t>
      </w:r>
      <w:r w:rsidRPr="0020238F">
        <w:rPr>
          <w:color w:val="000000"/>
          <w:szCs w:val="24"/>
          <w:lang w:val="en-GB"/>
        </w:rPr>
        <w:t xml:space="preserve">game that arrived here </w:t>
      </w:r>
      <w:r w:rsidR="0020238F" w:rsidRPr="0020238F">
        <w:rPr>
          <w:color w:val="000000"/>
          <w:szCs w:val="24"/>
          <w:lang w:val="en-GB"/>
        </w:rPr>
        <w:t>together with the playing cards</w:t>
      </w:r>
      <w:r w:rsidR="000A3DDD" w:rsidRPr="0020238F">
        <w:rPr>
          <w:color w:val="000000"/>
          <w:szCs w:val="24"/>
          <w:lang w:val="en-GB"/>
        </w:rPr>
        <w:t xml:space="preserve">. </w:t>
      </w:r>
      <w:r w:rsidR="00F611F9" w:rsidRPr="0020238F">
        <w:rPr>
          <w:color w:val="000000"/>
          <w:szCs w:val="24"/>
          <w:lang w:val="en-GB"/>
        </w:rPr>
        <w:t>(</w:t>
      </w:r>
      <w:r w:rsidR="00050113">
        <w:rPr>
          <w:rStyle w:val="EndnoteReference"/>
          <w:color w:val="000000"/>
          <w:szCs w:val="24"/>
          <w:lang w:val="en-GB"/>
        </w:rPr>
        <w:endnoteReference w:id="9"/>
      </w:r>
      <w:r w:rsidR="00F611F9" w:rsidRPr="0020238F">
        <w:rPr>
          <w:color w:val="000000"/>
          <w:szCs w:val="24"/>
          <w:lang w:val="en-GB"/>
        </w:rPr>
        <w:t>)</w:t>
      </w:r>
    </w:p>
    <w:p w:rsidR="00CD7C4C" w:rsidRPr="0020238F" w:rsidRDefault="00CD7C4C" w:rsidP="00CD7C4C">
      <w:pPr>
        <w:rPr>
          <w:color w:val="000000"/>
          <w:szCs w:val="24"/>
          <w:lang w:val="en-GB"/>
        </w:rPr>
      </w:pPr>
    </w:p>
    <w:p w:rsidR="00CD7C4C" w:rsidRPr="0020238F" w:rsidRDefault="00DC7FCC" w:rsidP="00CD7C4C">
      <w:pPr>
        <w:pStyle w:val="Heading2"/>
        <w:rPr>
          <w:szCs w:val="24"/>
          <w:lang w:val="en-GB"/>
        </w:rPr>
      </w:pPr>
      <w:proofErr w:type="spellStart"/>
      <w:r w:rsidRPr="0020238F">
        <w:rPr>
          <w:szCs w:val="24"/>
          <w:lang w:val="en-GB"/>
        </w:rPr>
        <w:t>D</w:t>
      </w:r>
      <w:r w:rsidR="00C36667" w:rsidRPr="0020238F">
        <w:rPr>
          <w:szCs w:val="24"/>
          <w:lang w:val="en-GB"/>
        </w:rPr>
        <w:t>iritta</w:t>
      </w:r>
      <w:proofErr w:type="spellEnd"/>
      <w:r w:rsidR="00C36667" w:rsidRPr="0020238F">
        <w:rPr>
          <w:szCs w:val="24"/>
          <w:lang w:val="en-GB"/>
        </w:rPr>
        <w:t xml:space="preserve"> </w:t>
      </w:r>
      <w:r w:rsidRPr="0020238F">
        <w:rPr>
          <w:szCs w:val="24"/>
          <w:lang w:val="en-GB"/>
        </w:rPr>
        <w:t>−</w:t>
      </w:r>
      <w:r w:rsidR="00140CE0">
        <w:rPr>
          <w:szCs w:val="24"/>
          <w:lang w:val="en-GB"/>
        </w:rPr>
        <w:t xml:space="preserve"> </w:t>
      </w:r>
      <w:r w:rsidRPr="0020238F">
        <w:rPr>
          <w:szCs w:val="24"/>
          <w:lang w:val="en-GB"/>
        </w:rPr>
        <w:t xml:space="preserve">the trial </w:t>
      </w:r>
    </w:p>
    <w:p w:rsidR="00CD7C4C" w:rsidRPr="0020238F" w:rsidRDefault="00CD7C4C" w:rsidP="00CD7C4C">
      <w:pPr>
        <w:rPr>
          <w:color w:val="000000"/>
          <w:szCs w:val="24"/>
          <w:lang w:val="en-GB"/>
        </w:rPr>
      </w:pPr>
    </w:p>
    <w:p w:rsidR="00D62E5F" w:rsidRPr="0020238F" w:rsidRDefault="009503C5" w:rsidP="00CD7C4C">
      <w:pPr>
        <w:rPr>
          <w:color w:val="000000"/>
          <w:szCs w:val="24"/>
          <w:lang w:val="en-GB"/>
        </w:rPr>
      </w:pPr>
      <w:r w:rsidRPr="0020238F">
        <w:rPr>
          <w:color w:val="000000"/>
          <w:szCs w:val="24"/>
          <w:lang w:val="en-GB"/>
        </w:rPr>
        <w:t>After a long introduction, we are now ready to enter into the court.</w:t>
      </w:r>
      <w:r w:rsidR="00BC0C60" w:rsidRPr="0020238F">
        <w:rPr>
          <w:color w:val="000000"/>
          <w:szCs w:val="24"/>
          <w:lang w:val="en-GB"/>
        </w:rPr>
        <w:t xml:space="preserve"> </w:t>
      </w:r>
      <w:r w:rsidRPr="0020238F">
        <w:rPr>
          <w:color w:val="000000"/>
          <w:szCs w:val="24"/>
          <w:lang w:val="en-GB"/>
        </w:rPr>
        <w:t>F</w:t>
      </w:r>
      <w:r w:rsidR="00EA4AC7" w:rsidRPr="0020238F">
        <w:rPr>
          <w:color w:val="000000"/>
          <w:szCs w:val="24"/>
          <w:lang w:val="en-GB"/>
        </w:rPr>
        <w:t xml:space="preserve">or </w:t>
      </w:r>
      <w:r w:rsidR="00D62E5F" w:rsidRPr="0020238F">
        <w:rPr>
          <w:color w:val="000000"/>
          <w:szCs w:val="24"/>
          <w:lang w:val="en-GB"/>
        </w:rPr>
        <w:t>most</w:t>
      </w:r>
      <w:r w:rsidR="00EA4AC7" w:rsidRPr="0020238F">
        <w:rPr>
          <w:color w:val="000000"/>
          <w:szCs w:val="24"/>
          <w:lang w:val="en-GB"/>
        </w:rPr>
        <w:t xml:space="preserve"> verdicts of this time</w:t>
      </w:r>
      <w:r w:rsidRPr="0020238F">
        <w:rPr>
          <w:color w:val="000000"/>
          <w:szCs w:val="24"/>
          <w:lang w:val="en-GB"/>
        </w:rPr>
        <w:t xml:space="preserve"> in Florence</w:t>
      </w:r>
      <w:r w:rsidR="00EA4AC7" w:rsidRPr="0020238F">
        <w:rPr>
          <w:color w:val="000000"/>
          <w:szCs w:val="24"/>
          <w:lang w:val="en-GB"/>
        </w:rPr>
        <w:t xml:space="preserve">, only </w:t>
      </w:r>
      <w:r w:rsidR="004F0549" w:rsidRPr="0020238F">
        <w:rPr>
          <w:color w:val="000000"/>
          <w:szCs w:val="24"/>
          <w:lang w:val="en-GB"/>
        </w:rPr>
        <w:t xml:space="preserve">some </w:t>
      </w:r>
      <w:r w:rsidR="00BC0C60" w:rsidRPr="0020238F">
        <w:rPr>
          <w:color w:val="000000"/>
          <w:szCs w:val="24"/>
          <w:lang w:val="en-GB"/>
        </w:rPr>
        <w:t xml:space="preserve">scattered </w:t>
      </w:r>
      <w:r w:rsidR="004F0549" w:rsidRPr="0020238F">
        <w:rPr>
          <w:color w:val="000000"/>
          <w:szCs w:val="24"/>
          <w:lang w:val="en-GB"/>
        </w:rPr>
        <w:t xml:space="preserve">documents </w:t>
      </w:r>
      <w:r w:rsidR="004F721D" w:rsidRPr="0020238F">
        <w:rPr>
          <w:color w:val="000000"/>
          <w:szCs w:val="24"/>
          <w:lang w:val="en-GB"/>
        </w:rPr>
        <w:t xml:space="preserve">are kept in the </w:t>
      </w:r>
      <w:r w:rsidR="004F0549" w:rsidRPr="0020238F">
        <w:rPr>
          <w:color w:val="000000"/>
          <w:szCs w:val="24"/>
          <w:lang w:val="en-GB"/>
        </w:rPr>
        <w:t>Archivio di Stato di Firenze</w:t>
      </w:r>
      <w:r w:rsidR="006060F6" w:rsidRPr="0020238F">
        <w:rPr>
          <w:color w:val="000000"/>
          <w:szCs w:val="24"/>
          <w:lang w:val="en-GB"/>
        </w:rPr>
        <w:t xml:space="preserve"> (ASF)</w:t>
      </w:r>
      <w:r w:rsidR="00BC0C60" w:rsidRPr="0020238F">
        <w:rPr>
          <w:color w:val="000000"/>
          <w:szCs w:val="24"/>
          <w:lang w:val="en-GB"/>
        </w:rPr>
        <w:t xml:space="preserve">, in the section </w:t>
      </w:r>
      <w:proofErr w:type="spellStart"/>
      <w:r w:rsidR="00BC0C60" w:rsidRPr="00050113">
        <w:rPr>
          <w:i/>
          <w:color w:val="000000"/>
          <w:szCs w:val="24"/>
          <w:lang w:val="en-GB"/>
        </w:rPr>
        <w:t>Giudice</w:t>
      </w:r>
      <w:proofErr w:type="spellEnd"/>
      <w:r w:rsidR="00BC0C60" w:rsidRPr="00050113">
        <w:rPr>
          <w:i/>
          <w:color w:val="000000"/>
          <w:szCs w:val="24"/>
          <w:lang w:val="en-GB"/>
        </w:rPr>
        <w:t xml:space="preserve"> </w:t>
      </w:r>
      <w:proofErr w:type="spellStart"/>
      <w:r w:rsidR="00BC0C60" w:rsidRPr="00050113">
        <w:rPr>
          <w:i/>
          <w:color w:val="000000"/>
          <w:szCs w:val="24"/>
          <w:lang w:val="en-GB"/>
        </w:rPr>
        <w:t>degli</w:t>
      </w:r>
      <w:proofErr w:type="spellEnd"/>
      <w:r w:rsidR="00BC0C60" w:rsidRPr="00050113">
        <w:rPr>
          <w:i/>
          <w:color w:val="000000"/>
          <w:szCs w:val="24"/>
          <w:lang w:val="en-GB"/>
        </w:rPr>
        <w:t xml:space="preserve"> </w:t>
      </w:r>
      <w:proofErr w:type="spellStart"/>
      <w:r w:rsidR="00BC0C60" w:rsidRPr="00050113">
        <w:rPr>
          <w:i/>
          <w:color w:val="000000"/>
          <w:szCs w:val="24"/>
          <w:lang w:val="en-GB"/>
        </w:rPr>
        <w:t>Appelli</w:t>
      </w:r>
      <w:proofErr w:type="spellEnd"/>
      <w:r w:rsidR="00DC7FCC" w:rsidRPr="00050113">
        <w:rPr>
          <w:i/>
          <w:color w:val="000000"/>
          <w:szCs w:val="24"/>
          <w:lang w:val="en-GB"/>
        </w:rPr>
        <w:t xml:space="preserve"> e </w:t>
      </w:r>
      <w:proofErr w:type="spellStart"/>
      <w:r w:rsidR="00DC7FCC" w:rsidRPr="00050113">
        <w:rPr>
          <w:i/>
          <w:color w:val="000000"/>
          <w:szCs w:val="24"/>
          <w:lang w:val="en-GB"/>
        </w:rPr>
        <w:t>nullità</w:t>
      </w:r>
      <w:proofErr w:type="spellEnd"/>
      <w:r w:rsidR="00BE5184" w:rsidRPr="0020238F">
        <w:rPr>
          <w:color w:val="000000"/>
          <w:szCs w:val="24"/>
          <w:lang w:val="en-GB"/>
        </w:rPr>
        <w:t xml:space="preserve">, which </w:t>
      </w:r>
      <w:r w:rsidR="00DC7FCC" w:rsidRPr="0020238F">
        <w:rPr>
          <w:color w:val="000000"/>
          <w:szCs w:val="24"/>
          <w:lang w:val="en-GB"/>
        </w:rPr>
        <w:t>I studied long ago,</w:t>
      </w:r>
      <w:r w:rsidR="00F611F9" w:rsidRPr="0020238F">
        <w:rPr>
          <w:color w:val="000000"/>
          <w:szCs w:val="24"/>
          <w:lang w:val="en-GB"/>
        </w:rPr>
        <w:t xml:space="preserve"> (</w:t>
      </w:r>
      <w:r w:rsidR="00050113">
        <w:rPr>
          <w:rStyle w:val="EndnoteReference"/>
          <w:color w:val="000000"/>
          <w:szCs w:val="24"/>
          <w:lang w:val="en-GB"/>
        </w:rPr>
        <w:endnoteReference w:id="10"/>
      </w:r>
      <w:r w:rsidR="00F611F9" w:rsidRPr="0020238F">
        <w:rPr>
          <w:color w:val="000000"/>
          <w:szCs w:val="24"/>
          <w:lang w:val="en-GB"/>
        </w:rPr>
        <w:t>)</w:t>
      </w:r>
      <w:r w:rsidR="00DC7FCC" w:rsidRPr="0020238F">
        <w:rPr>
          <w:color w:val="000000"/>
          <w:szCs w:val="24"/>
          <w:lang w:val="en-GB"/>
        </w:rPr>
        <w:t xml:space="preserve"> and has</w:t>
      </w:r>
      <w:r w:rsidR="00BE5184" w:rsidRPr="0020238F">
        <w:rPr>
          <w:color w:val="000000"/>
          <w:szCs w:val="24"/>
          <w:lang w:val="en-GB"/>
        </w:rPr>
        <w:t xml:space="preserve"> also been studied at an academic level</w:t>
      </w:r>
      <w:r w:rsidR="00022F17" w:rsidRPr="0020238F">
        <w:rPr>
          <w:color w:val="000000"/>
          <w:szCs w:val="24"/>
          <w:lang w:val="en-GB"/>
        </w:rPr>
        <w:t xml:space="preserve">. </w:t>
      </w:r>
      <w:r w:rsidR="00F611F9" w:rsidRPr="0020238F">
        <w:rPr>
          <w:color w:val="000000"/>
          <w:szCs w:val="24"/>
          <w:lang w:val="en-GB"/>
        </w:rPr>
        <w:t>(</w:t>
      </w:r>
      <w:r w:rsidR="00050113">
        <w:rPr>
          <w:rStyle w:val="EndnoteReference"/>
          <w:color w:val="000000"/>
          <w:szCs w:val="24"/>
          <w:lang w:val="en-GB"/>
        </w:rPr>
        <w:endnoteReference w:id="11"/>
      </w:r>
      <w:r w:rsidR="00F611F9" w:rsidRPr="0020238F">
        <w:rPr>
          <w:color w:val="000000"/>
          <w:szCs w:val="24"/>
          <w:lang w:val="en-GB"/>
        </w:rPr>
        <w:t>)</w:t>
      </w:r>
    </w:p>
    <w:p w:rsidR="00CD7C4C" w:rsidRPr="0020238F" w:rsidRDefault="00022F17" w:rsidP="00CD7C4C">
      <w:pPr>
        <w:rPr>
          <w:color w:val="000000"/>
          <w:szCs w:val="24"/>
          <w:lang w:val="en-GB"/>
        </w:rPr>
      </w:pPr>
      <w:r w:rsidRPr="0020238F">
        <w:rPr>
          <w:color w:val="000000"/>
          <w:szCs w:val="24"/>
          <w:lang w:val="en-GB"/>
        </w:rPr>
        <w:lastRenderedPageBreak/>
        <w:t>T</w:t>
      </w:r>
      <w:r w:rsidR="004F721D" w:rsidRPr="0020238F">
        <w:rPr>
          <w:color w:val="000000"/>
          <w:szCs w:val="24"/>
          <w:lang w:val="en-GB"/>
        </w:rPr>
        <w:t>he judge</w:t>
      </w:r>
      <w:r w:rsidR="00D62E5F" w:rsidRPr="0020238F">
        <w:rPr>
          <w:color w:val="000000"/>
          <w:szCs w:val="24"/>
          <w:lang w:val="en-GB"/>
        </w:rPr>
        <w:t>s</w:t>
      </w:r>
      <w:r w:rsidR="00BC0C60" w:rsidRPr="0020238F">
        <w:rPr>
          <w:color w:val="000000"/>
          <w:szCs w:val="24"/>
          <w:lang w:val="en-GB"/>
        </w:rPr>
        <w:t xml:space="preserve">, </w:t>
      </w:r>
      <w:r w:rsidR="00FC279B" w:rsidRPr="0020238F">
        <w:rPr>
          <w:color w:val="000000"/>
          <w:szCs w:val="24"/>
          <w:lang w:val="en-GB"/>
        </w:rPr>
        <w:t>“</w:t>
      </w:r>
      <w:proofErr w:type="spellStart"/>
      <w:r w:rsidR="00BC0C60" w:rsidRPr="0020238F">
        <w:rPr>
          <w:color w:val="000000"/>
          <w:szCs w:val="24"/>
          <w:lang w:val="en-GB"/>
        </w:rPr>
        <w:t>Conservatori</w:t>
      </w:r>
      <w:proofErr w:type="spellEnd"/>
      <w:r w:rsidR="00BC0C60" w:rsidRPr="0020238F">
        <w:rPr>
          <w:color w:val="000000"/>
          <w:szCs w:val="24"/>
          <w:lang w:val="en-GB"/>
        </w:rPr>
        <w:t xml:space="preserve"> </w:t>
      </w:r>
      <w:proofErr w:type="spellStart"/>
      <w:r w:rsidR="00BC0C60" w:rsidRPr="0020238F">
        <w:rPr>
          <w:color w:val="000000"/>
          <w:szCs w:val="24"/>
          <w:lang w:val="en-GB"/>
        </w:rPr>
        <w:t>delle</w:t>
      </w:r>
      <w:proofErr w:type="spellEnd"/>
      <w:r w:rsidR="00BC0C60" w:rsidRPr="0020238F">
        <w:rPr>
          <w:color w:val="000000"/>
          <w:szCs w:val="24"/>
          <w:lang w:val="en-GB"/>
        </w:rPr>
        <w:t xml:space="preserve"> </w:t>
      </w:r>
      <w:proofErr w:type="spellStart"/>
      <w:r w:rsidR="00BC0C60" w:rsidRPr="0020238F">
        <w:rPr>
          <w:color w:val="000000"/>
          <w:szCs w:val="24"/>
          <w:lang w:val="en-GB"/>
        </w:rPr>
        <w:t>leggi</w:t>
      </w:r>
      <w:proofErr w:type="spellEnd"/>
      <w:r w:rsidR="00FC279B" w:rsidRPr="0020238F">
        <w:rPr>
          <w:color w:val="000000"/>
          <w:szCs w:val="24"/>
          <w:lang w:val="en-GB"/>
        </w:rPr>
        <w:t>”</w:t>
      </w:r>
      <w:r w:rsidR="00BC0C60" w:rsidRPr="0020238F">
        <w:rPr>
          <w:color w:val="000000"/>
          <w:szCs w:val="24"/>
          <w:lang w:val="en-GB"/>
        </w:rPr>
        <w:t xml:space="preserve"> in </w:t>
      </w:r>
      <w:r w:rsidR="004D3F32" w:rsidRPr="0020238F">
        <w:rPr>
          <w:color w:val="000000"/>
          <w:szCs w:val="24"/>
          <w:lang w:val="en-GB"/>
        </w:rPr>
        <w:t>t</w:t>
      </w:r>
      <w:r w:rsidR="00BC0C60" w:rsidRPr="0020238F">
        <w:rPr>
          <w:color w:val="000000"/>
          <w:szCs w:val="24"/>
          <w:lang w:val="en-GB"/>
        </w:rPr>
        <w:t>his case,</w:t>
      </w:r>
      <w:r w:rsidR="004D3F32" w:rsidRPr="0020238F">
        <w:rPr>
          <w:color w:val="000000"/>
          <w:szCs w:val="24"/>
          <w:lang w:val="en-GB"/>
        </w:rPr>
        <w:t xml:space="preserve"> </w:t>
      </w:r>
      <w:r w:rsidR="00F611F9" w:rsidRPr="0020238F">
        <w:rPr>
          <w:color w:val="000000"/>
          <w:szCs w:val="24"/>
          <w:lang w:val="en-GB"/>
        </w:rPr>
        <w:t>(</w:t>
      </w:r>
      <w:r w:rsidR="00050113">
        <w:rPr>
          <w:rStyle w:val="EndnoteReference"/>
          <w:color w:val="000000"/>
          <w:szCs w:val="24"/>
          <w:lang w:val="en-GB"/>
        </w:rPr>
        <w:endnoteReference w:id="12"/>
      </w:r>
      <w:r w:rsidR="00F611F9" w:rsidRPr="0020238F">
        <w:rPr>
          <w:color w:val="000000"/>
          <w:szCs w:val="24"/>
          <w:lang w:val="en-GB"/>
        </w:rPr>
        <w:t>)</w:t>
      </w:r>
      <w:r w:rsidR="004F721D" w:rsidRPr="0020238F">
        <w:rPr>
          <w:color w:val="000000"/>
          <w:szCs w:val="24"/>
          <w:lang w:val="en-GB"/>
        </w:rPr>
        <w:t xml:space="preserve"> </w:t>
      </w:r>
      <w:r w:rsidR="00EA4AC7" w:rsidRPr="0020238F">
        <w:rPr>
          <w:color w:val="000000"/>
          <w:szCs w:val="24"/>
          <w:lang w:val="en-GB"/>
        </w:rPr>
        <w:t>ha</w:t>
      </w:r>
      <w:r w:rsidR="00D62E5F" w:rsidRPr="0020238F">
        <w:rPr>
          <w:color w:val="000000"/>
          <w:szCs w:val="24"/>
          <w:lang w:val="en-GB"/>
        </w:rPr>
        <w:t>ve</w:t>
      </w:r>
      <w:r w:rsidR="00EA4AC7" w:rsidRPr="0020238F">
        <w:rPr>
          <w:color w:val="000000"/>
          <w:szCs w:val="24"/>
          <w:lang w:val="en-GB"/>
        </w:rPr>
        <w:t xml:space="preserve"> to con</w:t>
      </w:r>
      <w:r w:rsidR="004F721D" w:rsidRPr="0020238F">
        <w:rPr>
          <w:color w:val="000000"/>
          <w:szCs w:val="24"/>
          <w:lang w:val="en-GB"/>
        </w:rPr>
        <w:t>sider both the</w:t>
      </w:r>
      <w:r w:rsidR="009503C5" w:rsidRPr="0020238F">
        <w:rPr>
          <w:color w:val="000000"/>
          <w:szCs w:val="24"/>
          <w:lang w:val="en-GB"/>
        </w:rPr>
        <w:t xml:space="preserve"> report available and</w:t>
      </w:r>
      <w:r w:rsidR="004F721D" w:rsidRPr="0020238F">
        <w:rPr>
          <w:color w:val="000000"/>
          <w:szCs w:val="24"/>
          <w:lang w:val="en-GB"/>
        </w:rPr>
        <w:t xml:space="preserve"> to hear</w:t>
      </w:r>
      <w:r w:rsidR="00EA4AC7" w:rsidRPr="0020238F">
        <w:rPr>
          <w:color w:val="000000"/>
          <w:szCs w:val="24"/>
          <w:lang w:val="en-GB"/>
        </w:rPr>
        <w:t xml:space="preserve"> the </w:t>
      </w:r>
      <w:r w:rsidR="004F721D" w:rsidRPr="0020238F">
        <w:rPr>
          <w:color w:val="000000"/>
          <w:szCs w:val="24"/>
          <w:lang w:val="en-GB"/>
        </w:rPr>
        <w:t xml:space="preserve">objections of the </w:t>
      </w:r>
      <w:r w:rsidR="00382608" w:rsidRPr="0020238F">
        <w:rPr>
          <w:color w:val="000000"/>
          <w:szCs w:val="24"/>
          <w:lang w:val="en-GB"/>
        </w:rPr>
        <w:t>indicted</w:t>
      </w:r>
      <w:r w:rsidR="004F721D" w:rsidRPr="0020238F">
        <w:rPr>
          <w:color w:val="000000"/>
          <w:szCs w:val="24"/>
          <w:lang w:val="en-GB"/>
        </w:rPr>
        <w:t xml:space="preserve">, </w:t>
      </w:r>
      <w:r w:rsidR="009503C5" w:rsidRPr="0020238F">
        <w:rPr>
          <w:color w:val="000000"/>
          <w:szCs w:val="24"/>
          <w:lang w:val="en-GB"/>
        </w:rPr>
        <w:t>before</w:t>
      </w:r>
      <w:r w:rsidR="004F721D" w:rsidRPr="0020238F">
        <w:rPr>
          <w:color w:val="000000"/>
          <w:szCs w:val="24"/>
          <w:lang w:val="en-GB"/>
        </w:rPr>
        <w:t xml:space="preserve"> </w:t>
      </w:r>
      <w:r w:rsidR="009503C5" w:rsidRPr="0020238F">
        <w:rPr>
          <w:color w:val="000000"/>
          <w:szCs w:val="24"/>
          <w:lang w:val="en-GB"/>
        </w:rPr>
        <w:t>giving</w:t>
      </w:r>
      <w:r w:rsidR="004F721D" w:rsidRPr="0020238F">
        <w:rPr>
          <w:color w:val="000000"/>
          <w:szCs w:val="24"/>
          <w:lang w:val="en-GB"/>
        </w:rPr>
        <w:t xml:space="preserve"> </w:t>
      </w:r>
      <w:r w:rsidR="00D62E5F" w:rsidRPr="0020238F">
        <w:rPr>
          <w:color w:val="000000"/>
          <w:szCs w:val="24"/>
          <w:lang w:val="en-GB"/>
        </w:rPr>
        <w:t>their</w:t>
      </w:r>
      <w:r w:rsidR="004F721D" w:rsidRPr="0020238F">
        <w:rPr>
          <w:color w:val="000000"/>
          <w:szCs w:val="24"/>
          <w:lang w:val="en-GB"/>
        </w:rPr>
        <w:t xml:space="preserve"> verdict.</w:t>
      </w:r>
      <w:r w:rsidR="009503C5" w:rsidRPr="0020238F">
        <w:rPr>
          <w:color w:val="000000"/>
          <w:szCs w:val="24"/>
          <w:lang w:val="en-GB"/>
        </w:rPr>
        <w:t xml:space="preserve"> The report for </w:t>
      </w:r>
      <w:r w:rsidR="00BC0C60" w:rsidRPr="0020238F">
        <w:rPr>
          <w:color w:val="000000"/>
          <w:szCs w:val="24"/>
          <w:lang w:val="en-GB"/>
        </w:rPr>
        <w:t>charges</w:t>
      </w:r>
      <w:r w:rsidR="009503C5" w:rsidRPr="0020238F">
        <w:rPr>
          <w:color w:val="000000"/>
          <w:szCs w:val="24"/>
          <w:lang w:val="en-GB"/>
        </w:rPr>
        <w:t xml:space="preserve"> of gambling and blasphemy was </w:t>
      </w:r>
      <w:r w:rsidR="00BC0C60" w:rsidRPr="0020238F">
        <w:rPr>
          <w:color w:val="000000"/>
          <w:szCs w:val="24"/>
          <w:lang w:val="en-GB"/>
        </w:rPr>
        <w:t>then</w:t>
      </w:r>
      <w:r w:rsidR="009503C5" w:rsidRPr="0020238F">
        <w:rPr>
          <w:color w:val="000000"/>
          <w:szCs w:val="24"/>
          <w:lang w:val="en-GB"/>
        </w:rPr>
        <w:t xml:space="preserve"> possible in an anonymous way. Several </w:t>
      </w:r>
      <w:r w:rsidR="004D3F32" w:rsidRPr="0020238F">
        <w:rPr>
          <w:color w:val="000000"/>
          <w:szCs w:val="24"/>
          <w:lang w:val="en-GB"/>
        </w:rPr>
        <w:t xml:space="preserve">special </w:t>
      </w:r>
      <w:r w:rsidR="009503C5" w:rsidRPr="0020238F">
        <w:rPr>
          <w:color w:val="000000"/>
          <w:szCs w:val="24"/>
          <w:lang w:val="en-GB"/>
        </w:rPr>
        <w:t>boxes (</w:t>
      </w:r>
      <w:proofErr w:type="spellStart"/>
      <w:r w:rsidR="009503C5" w:rsidRPr="00050113">
        <w:rPr>
          <w:i/>
          <w:color w:val="000000"/>
          <w:szCs w:val="24"/>
          <w:lang w:val="en-GB"/>
        </w:rPr>
        <w:t>tambura</w:t>
      </w:r>
      <w:proofErr w:type="spellEnd"/>
      <w:r w:rsidR="009503C5" w:rsidRPr="0020238F">
        <w:rPr>
          <w:color w:val="000000"/>
          <w:szCs w:val="24"/>
          <w:lang w:val="en-GB"/>
        </w:rPr>
        <w:t xml:space="preserve">) had been </w:t>
      </w:r>
      <w:r w:rsidR="00382608" w:rsidRPr="0020238F">
        <w:rPr>
          <w:color w:val="000000"/>
          <w:szCs w:val="24"/>
          <w:lang w:val="en-GB"/>
        </w:rPr>
        <w:t>located</w:t>
      </w:r>
      <w:r w:rsidR="009503C5" w:rsidRPr="0020238F">
        <w:rPr>
          <w:color w:val="000000"/>
          <w:szCs w:val="24"/>
          <w:lang w:val="en-GB"/>
        </w:rPr>
        <w:t xml:space="preserve"> </w:t>
      </w:r>
      <w:r w:rsidR="00BC0C60" w:rsidRPr="0020238F">
        <w:rPr>
          <w:color w:val="000000"/>
          <w:szCs w:val="24"/>
          <w:lang w:val="en-GB"/>
        </w:rPr>
        <w:t xml:space="preserve">in </w:t>
      </w:r>
      <w:r w:rsidR="004D3F32" w:rsidRPr="0020238F">
        <w:rPr>
          <w:color w:val="000000"/>
          <w:szCs w:val="24"/>
          <w:lang w:val="en-GB"/>
        </w:rPr>
        <w:t>a few</w:t>
      </w:r>
      <w:r w:rsidR="00BC0C60" w:rsidRPr="0020238F">
        <w:rPr>
          <w:color w:val="000000"/>
          <w:szCs w:val="24"/>
          <w:lang w:val="en-GB"/>
        </w:rPr>
        <w:t xml:space="preserve"> places of the town, especially near</w:t>
      </w:r>
      <w:r w:rsidR="009503C5" w:rsidRPr="0020238F">
        <w:rPr>
          <w:color w:val="000000"/>
          <w:szCs w:val="24"/>
          <w:lang w:val="en-GB"/>
        </w:rPr>
        <w:t xml:space="preserve"> the main churches</w:t>
      </w:r>
      <w:r w:rsidR="00BC0C60" w:rsidRPr="0020238F">
        <w:rPr>
          <w:color w:val="000000"/>
          <w:szCs w:val="24"/>
          <w:lang w:val="en-GB"/>
        </w:rPr>
        <w:t>,</w:t>
      </w:r>
      <w:r w:rsidR="009503C5" w:rsidRPr="0020238F">
        <w:rPr>
          <w:color w:val="000000"/>
          <w:szCs w:val="24"/>
          <w:lang w:val="en-GB"/>
        </w:rPr>
        <w:t xml:space="preserve"> </w:t>
      </w:r>
      <w:r w:rsidR="004D3F32" w:rsidRPr="0020238F">
        <w:rPr>
          <w:color w:val="000000"/>
          <w:szCs w:val="24"/>
          <w:lang w:val="en-GB"/>
        </w:rPr>
        <w:t xml:space="preserve">and </w:t>
      </w:r>
      <w:r w:rsidR="009503C5" w:rsidRPr="0020238F">
        <w:rPr>
          <w:color w:val="000000"/>
          <w:szCs w:val="24"/>
          <w:lang w:val="en-GB"/>
        </w:rPr>
        <w:t>anybody could post his report</w:t>
      </w:r>
      <w:r w:rsidR="004D3F32" w:rsidRPr="0020238F">
        <w:rPr>
          <w:color w:val="000000"/>
          <w:szCs w:val="24"/>
          <w:lang w:val="en-GB"/>
        </w:rPr>
        <w:t xml:space="preserve"> into them</w:t>
      </w:r>
      <w:r w:rsidR="009503C5" w:rsidRPr="0020238F">
        <w:rPr>
          <w:color w:val="000000"/>
          <w:szCs w:val="24"/>
          <w:lang w:val="en-GB"/>
        </w:rPr>
        <w:t xml:space="preserve">. In </w:t>
      </w:r>
      <w:r w:rsidR="00382608" w:rsidRPr="0020238F">
        <w:rPr>
          <w:color w:val="000000"/>
          <w:szCs w:val="24"/>
          <w:lang w:val="en-GB"/>
        </w:rPr>
        <w:t>these</w:t>
      </w:r>
      <w:r w:rsidR="009503C5" w:rsidRPr="0020238F">
        <w:rPr>
          <w:color w:val="000000"/>
          <w:szCs w:val="24"/>
          <w:lang w:val="en-GB"/>
        </w:rPr>
        <w:t xml:space="preserve"> years, it was possible </w:t>
      </w:r>
      <w:r w:rsidR="00382608" w:rsidRPr="0020238F">
        <w:rPr>
          <w:color w:val="000000"/>
          <w:szCs w:val="24"/>
          <w:lang w:val="en-GB"/>
        </w:rPr>
        <w:t xml:space="preserve">for the informer </w:t>
      </w:r>
      <w:r w:rsidR="009503C5" w:rsidRPr="0020238F">
        <w:rPr>
          <w:color w:val="000000"/>
          <w:szCs w:val="24"/>
          <w:lang w:val="en-GB"/>
        </w:rPr>
        <w:t>to claim a part of the fine (</w:t>
      </w:r>
      <w:r w:rsidR="004D3F32" w:rsidRPr="0020238F">
        <w:rPr>
          <w:color w:val="000000"/>
          <w:szCs w:val="24"/>
          <w:lang w:val="en-GB"/>
        </w:rPr>
        <w:t xml:space="preserve">usually one fourth; </w:t>
      </w:r>
      <w:r w:rsidR="009503C5" w:rsidRPr="0020238F">
        <w:rPr>
          <w:color w:val="000000"/>
          <w:szCs w:val="24"/>
          <w:lang w:val="en-GB"/>
        </w:rPr>
        <w:t xml:space="preserve">in case he didn’t </w:t>
      </w:r>
      <w:r w:rsidR="00FC279B" w:rsidRPr="0020238F">
        <w:rPr>
          <w:color w:val="000000"/>
          <w:szCs w:val="24"/>
          <w:lang w:val="en-GB"/>
        </w:rPr>
        <w:t>sign</w:t>
      </w:r>
      <w:r w:rsidR="00BC0C60" w:rsidRPr="0020238F">
        <w:rPr>
          <w:color w:val="000000"/>
          <w:szCs w:val="24"/>
          <w:lang w:val="en-GB"/>
        </w:rPr>
        <w:t xml:space="preserve"> his report</w:t>
      </w:r>
      <w:r w:rsidR="009503C5" w:rsidRPr="0020238F">
        <w:rPr>
          <w:color w:val="000000"/>
          <w:szCs w:val="24"/>
          <w:lang w:val="en-GB"/>
        </w:rPr>
        <w:t xml:space="preserve">, he could specify a way to be recognized when applying for </w:t>
      </w:r>
      <w:r w:rsidR="00BC0C60" w:rsidRPr="0020238F">
        <w:rPr>
          <w:color w:val="000000"/>
          <w:szCs w:val="24"/>
          <w:lang w:val="en-GB"/>
        </w:rPr>
        <w:t xml:space="preserve">his </w:t>
      </w:r>
      <w:r w:rsidR="009503C5" w:rsidRPr="0020238F">
        <w:rPr>
          <w:color w:val="000000"/>
          <w:szCs w:val="24"/>
          <w:lang w:val="en-GB"/>
        </w:rPr>
        <w:t>amount.)</w:t>
      </w:r>
    </w:p>
    <w:p w:rsidR="006033B1" w:rsidRPr="0020238F" w:rsidRDefault="00D526B8" w:rsidP="00CD7C4C">
      <w:pPr>
        <w:rPr>
          <w:color w:val="000000"/>
          <w:szCs w:val="24"/>
        </w:rPr>
      </w:pPr>
      <w:r w:rsidRPr="0020238F">
        <w:rPr>
          <w:color w:val="000000"/>
          <w:szCs w:val="24"/>
          <w:lang w:val="en-US"/>
        </w:rPr>
        <w:t>In this verdict, the</w:t>
      </w:r>
      <w:r w:rsidR="00382608" w:rsidRPr="0020238F">
        <w:rPr>
          <w:color w:val="000000"/>
          <w:szCs w:val="24"/>
          <w:lang w:val="en-US"/>
        </w:rPr>
        <w:t xml:space="preserve"> anonymous</w:t>
      </w:r>
      <w:r w:rsidRPr="0020238F">
        <w:rPr>
          <w:color w:val="000000"/>
          <w:szCs w:val="24"/>
          <w:lang w:val="en-US"/>
        </w:rPr>
        <w:t xml:space="preserve"> report is more or less verbatim copied, as follows.</w:t>
      </w:r>
      <w:r w:rsidR="00140CE0">
        <w:rPr>
          <w:color w:val="000000"/>
          <w:szCs w:val="24"/>
          <w:lang w:val="en-US"/>
        </w:rPr>
        <w:t xml:space="preserve"> </w:t>
      </w:r>
      <w:r w:rsidR="00E32337" w:rsidRPr="00140CE0">
        <w:rPr>
          <w:i/>
          <w:color w:val="000000"/>
          <w:szCs w:val="24"/>
        </w:rPr>
        <w:t>Dinanzi a voi Conservadori delle leggi e buoni costumi come questo dì 22 di marzo manifestovi come io vidi giucare a giuoco di carte cioè alla diritta Federigo di Stefano speziale a San Nicholo e Bruogio di Antonio di Ser Manno sta a San Miniato a Monte e stano presso a vedere giucare al detto giuoco Atterrito di Stefano Ciucci.</w:t>
      </w:r>
    </w:p>
    <w:p w:rsidR="00BC28B7" w:rsidRPr="0020238F" w:rsidRDefault="007D7B44" w:rsidP="00D526B8">
      <w:pPr>
        <w:rPr>
          <w:color w:val="000000"/>
          <w:szCs w:val="24"/>
          <w:lang w:val="en-US"/>
        </w:rPr>
      </w:pPr>
      <w:r w:rsidRPr="0020238F">
        <w:rPr>
          <w:color w:val="000000"/>
          <w:szCs w:val="24"/>
          <w:lang w:val="en-US"/>
        </w:rPr>
        <w:t xml:space="preserve">We find here two pioneering card players: </w:t>
      </w:r>
      <w:proofErr w:type="spellStart"/>
      <w:r w:rsidRPr="0020238F">
        <w:rPr>
          <w:color w:val="000000"/>
          <w:szCs w:val="24"/>
          <w:lang w:val="en-US"/>
        </w:rPr>
        <w:t>Federigo</w:t>
      </w:r>
      <w:proofErr w:type="spellEnd"/>
      <w:r w:rsidRPr="0020238F">
        <w:rPr>
          <w:color w:val="000000"/>
          <w:szCs w:val="24"/>
          <w:lang w:val="en-US"/>
        </w:rPr>
        <w:t xml:space="preserve"> di Stefano and </w:t>
      </w:r>
      <w:proofErr w:type="spellStart"/>
      <w:r w:rsidRPr="0020238F">
        <w:rPr>
          <w:color w:val="000000"/>
          <w:szCs w:val="24"/>
          <w:lang w:val="en-US"/>
        </w:rPr>
        <w:t>Bruogio</w:t>
      </w:r>
      <w:proofErr w:type="spellEnd"/>
      <w:r w:rsidRPr="0020238F">
        <w:rPr>
          <w:color w:val="000000"/>
          <w:szCs w:val="24"/>
          <w:lang w:val="en-US"/>
        </w:rPr>
        <w:t xml:space="preserve"> </w:t>
      </w:r>
      <w:proofErr w:type="spellStart"/>
      <w:r w:rsidRPr="0020238F">
        <w:rPr>
          <w:color w:val="000000"/>
          <w:szCs w:val="24"/>
          <w:lang w:val="en-US"/>
        </w:rPr>
        <w:t>d’Antonio</w:t>
      </w:r>
      <w:proofErr w:type="spellEnd"/>
      <w:r w:rsidRPr="0020238F">
        <w:rPr>
          <w:color w:val="000000"/>
          <w:szCs w:val="24"/>
          <w:lang w:val="en-US"/>
        </w:rPr>
        <w:t>. Toget</w:t>
      </w:r>
      <w:r w:rsidR="00D526B8" w:rsidRPr="0020238F">
        <w:rPr>
          <w:color w:val="000000"/>
          <w:szCs w:val="24"/>
          <w:lang w:val="en-US"/>
        </w:rPr>
        <w:t xml:space="preserve">her with them we also find the </w:t>
      </w:r>
      <w:r w:rsidRPr="0020238F">
        <w:rPr>
          <w:color w:val="000000"/>
          <w:szCs w:val="24"/>
          <w:lang w:val="en-US"/>
        </w:rPr>
        <w:t xml:space="preserve">name of a kibitzer: </w:t>
      </w:r>
      <w:proofErr w:type="spellStart"/>
      <w:r w:rsidRPr="0020238F">
        <w:rPr>
          <w:color w:val="000000"/>
          <w:szCs w:val="24"/>
          <w:lang w:val="en-US"/>
        </w:rPr>
        <w:t>Atterrito</w:t>
      </w:r>
      <w:proofErr w:type="spellEnd"/>
      <w:r w:rsidRPr="0020238F">
        <w:rPr>
          <w:color w:val="000000"/>
          <w:szCs w:val="24"/>
          <w:lang w:val="en-US"/>
        </w:rPr>
        <w:t xml:space="preserve"> di Stefano </w:t>
      </w:r>
      <w:proofErr w:type="spellStart"/>
      <w:r w:rsidRPr="0020238F">
        <w:rPr>
          <w:color w:val="000000"/>
          <w:szCs w:val="24"/>
          <w:lang w:val="en-US"/>
        </w:rPr>
        <w:t>Ciucci</w:t>
      </w:r>
      <w:proofErr w:type="spellEnd"/>
      <w:r w:rsidRPr="0020238F">
        <w:rPr>
          <w:color w:val="000000"/>
          <w:szCs w:val="24"/>
          <w:lang w:val="en-US"/>
        </w:rPr>
        <w:t xml:space="preserve">. </w:t>
      </w:r>
      <w:r w:rsidR="00BC28B7" w:rsidRPr="0020238F">
        <w:rPr>
          <w:color w:val="000000"/>
          <w:szCs w:val="24"/>
          <w:lang w:val="en-US"/>
        </w:rPr>
        <w:t xml:space="preserve">It is not so important who they were, but what they were doing. </w:t>
      </w:r>
    </w:p>
    <w:p w:rsidR="007D7B44" w:rsidRPr="0020238F" w:rsidRDefault="00D526B8" w:rsidP="00D526B8">
      <w:pPr>
        <w:rPr>
          <w:color w:val="000000"/>
          <w:szCs w:val="24"/>
          <w:lang w:val="en-US"/>
        </w:rPr>
      </w:pPr>
      <w:r w:rsidRPr="0020238F">
        <w:rPr>
          <w:color w:val="000000"/>
          <w:szCs w:val="24"/>
          <w:lang w:val="en-US"/>
        </w:rPr>
        <w:t xml:space="preserve">What we </w:t>
      </w:r>
      <w:r w:rsidR="004D3F32" w:rsidRPr="0020238F">
        <w:rPr>
          <w:color w:val="000000"/>
          <w:szCs w:val="24"/>
          <w:lang w:val="en-US"/>
        </w:rPr>
        <w:t>catch a glimpse of</w:t>
      </w:r>
      <w:r w:rsidRPr="0020238F">
        <w:rPr>
          <w:color w:val="000000"/>
          <w:szCs w:val="24"/>
          <w:lang w:val="en-US"/>
        </w:rPr>
        <w:t xml:space="preserve"> are two </w:t>
      </w:r>
      <w:r w:rsidR="004D3F32" w:rsidRPr="0020238F">
        <w:rPr>
          <w:color w:val="000000"/>
          <w:szCs w:val="24"/>
          <w:lang w:val="en-US"/>
        </w:rPr>
        <w:t xml:space="preserve">friends while playing </w:t>
      </w:r>
      <w:r w:rsidRPr="0020238F">
        <w:rPr>
          <w:color w:val="000000"/>
          <w:szCs w:val="24"/>
          <w:lang w:val="en-US"/>
        </w:rPr>
        <w:t>card</w:t>
      </w:r>
      <w:r w:rsidR="004D3F32" w:rsidRPr="0020238F">
        <w:rPr>
          <w:color w:val="000000"/>
          <w:szCs w:val="24"/>
          <w:lang w:val="en-US"/>
        </w:rPr>
        <w:t>s</w:t>
      </w:r>
      <w:r w:rsidRPr="0020238F">
        <w:rPr>
          <w:color w:val="000000"/>
          <w:szCs w:val="24"/>
          <w:lang w:val="en-US"/>
        </w:rPr>
        <w:t xml:space="preserve"> with a third friend observing the</w:t>
      </w:r>
      <w:r w:rsidR="004D3F32" w:rsidRPr="0020238F">
        <w:rPr>
          <w:color w:val="000000"/>
          <w:szCs w:val="24"/>
          <w:lang w:val="en-US"/>
        </w:rPr>
        <w:t>ir</w:t>
      </w:r>
      <w:r w:rsidRPr="0020238F">
        <w:rPr>
          <w:color w:val="000000"/>
          <w:szCs w:val="24"/>
          <w:lang w:val="en-US"/>
        </w:rPr>
        <w:t xml:space="preserve"> game; nobody else. </w:t>
      </w:r>
      <w:r w:rsidR="00BC28B7" w:rsidRPr="0020238F">
        <w:rPr>
          <w:color w:val="000000"/>
          <w:szCs w:val="24"/>
          <w:lang w:val="en-US"/>
        </w:rPr>
        <w:t xml:space="preserve">There is no hint to a group of gamblers, as those who </w:t>
      </w:r>
      <w:r w:rsidR="00FC279B" w:rsidRPr="0020238F">
        <w:rPr>
          <w:color w:val="000000"/>
          <w:szCs w:val="24"/>
          <w:lang w:val="en-US"/>
        </w:rPr>
        <w:t>we</w:t>
      </w:r>
      <w:r w:rsidR="00BC28B7" w:rsidRPr="0020238F">
        <w:rPr>
          <w:color w:val="000000"/>
          <w:szCs w:val="24"/>
          <w:lang w:val="en-US"/>
        </w:rPr>
        <w:t>re found in the same year while playing and blaspheming</w:t>
      </w:r>
      <w:r w:rsidR="00625C22" w:rsidRPr="0020238F">
        <w:rPr>
          <w:color w:val="000000"/>
          <w:szCs w:val="24"/>
          <w:lang w:val="en-US"/>
        </w:rPr>
        <w:t>, typically</w:t>
      </w:r>
      <w:r w:rsidR="00BC28B7" w:rsidRPr="0020238F">
        <w:rPr>
          <w:color w:val="000000"/>
          <w:szCs w:val="24"/>
          <w:lang w:val="en-US"/>
        </w:rPr>
        <w:t xml:space="preserve"> at </w:t>
      </w:r>
      <w:proofErr w:type="spellStart"/>
      <w:r w:rsidR="00BC28B7" w:rsidRPr="0020238F">
        <w:rPr>
          <w:color w:val="000000"/>
          <w:szCs w:val="24"/>
          <w:lang w:val="en-US"/>
        </w:rPr>
        <w:t>Logge</w:t>
      </w:r>
      <w:proofErr w:type="spellEnd"/>
      <w:r w:rsidR="00BC28B7" w:rsidRPr="0020238F">
        <w:rPr>
          <w:color w:val="000000"/>
          <w:szCs w:val="24"/>
          <w:lang w:val="en-US"/>
        </w:rPr>
        <w:t xml:space="preserve"> </w:t>
      </w:r>
      <w:proofErr w:type="spellStart"/>
      <w:r w:rsidR="00BC28B7" w:rsidRPr="0020238F">
        <w:rPr>
          <w:color w:val="000000"/>
          <w:szCs w:val="24"/>
          <w:lang w:val="en-US"/>
        </w:rPr>
        <w:t>Buondelmonti</w:t>
      </w:r>
      <w:proofErr w:type="spellEnd"/>
      <w:r w:rsidR="00BC28B7" w:rsidRPr="0020238F">
        <w:rPr>
          <w:color w:val="000000"/>
          <w:szCs w:val="24"/>
          <w:lang w:val="en-US"/>
        </w:rPr>
        <w:t xml:space="preserve">, in Piazza Madonna, or near the </w:t>
      </w:r>
      <w:proofErr w:type="spellStart"/>
      <w:r w:rsidR="00BC28B7" w:rsidRPr="0020238F">
        <w:rPr>
          <w:color w:val="000000"/>
          <w:szCs w:val="24"/>
          <w:lang w:val="en-US"/>
        </w:rPr>
        <w:t>Porta</w:t>
      </w:r>
      <w:proofErr w:type="spellEnd"/>
      <w:r w:rsidR="00BC28B7" w:rsidRPr="0020238F">
        <w:rPr>
          <w:color w:val="000000"/>
          <w:szCs w:val="24"/>
          <w:lang w:val="en-US"/>
        </w:rPr>
        <w:t xml:space="preserve"> di San </w:t>
      </w:r>
      <w:proofErr w:type="spellStart"/>
      <w:r w:rsidR="00BC28B7" w:rsidRPr="0020238F">
        <w:rPr>
          <w:color w:val="000000"/>
          <w:szCs w:val="24"/>
          <w:lang w:val="en-US"/>
        </w:rPr>
        <w:t>Pietro</w:t>
      </w:r>
      <w:proofErr w:type="spellEnd"/>
      <w:r w:rsidR="00BC28B7" w:rsidRPr="0020238F">
        <w:rPr>
          <w:color w:val="000000"/>
          <w:szCs w:val="24"/>
          <w:lang w:val="en-US"/>
        </w:rPr>
        <w:t xml:space="preserve"> </w:t>
      </w:r>
      <w:proofErr w:type="spellStart"/>
      <w:r w:rsidR="00BC28B7" w:rsidRPr="0020238F">
        <w:rPr>
          <w:color w:val="000000"/>
          <w:szCs w:val="24"/>
          <w:lang w:val="en-US"/>
        </w:rPr>
        <w:t>Gattolini</w:t>
      </w:r>
      <w:proofErr w:type="spellEnd"/>
      <w:r w:rsidR="00BC28B7" w:rsidRPr="0020238F">
        <w:rPr>
          <w:color w:val="000000"/>
          <w:szCs w:val="24"/>
          <w:lang w:val="en-US"/>
        </w:rPr>
        <w:t>.</w:t>
      </w:r>
    </w:p>
    <w:p w:rsidR="007D7B44" w:rsidRPr="0020238F" w:rsidRDefault="007D7B44" w:rsidP="007D7B44">
      <w:pPr>
        <w:rPr>
          <w:color w:val="000000"/>
          <w:szCs w:val="24"/>
          <w:lang w:val="en-US"/>
        </w:rPr>
      </w:pPr>
      <w:r w:rsidRPr="0020238F">
        <w:rPr>
          <w:color w:val="000000"/>
          <w:szCs w:val="24"/>
          <w:lang w:val="en-US"/>
        </w:rPr>
        <w:t xml:space="preserve">The place is not mentioned, but San </w:t>
      </w:r>
      <w:proofErr w:type="spellStart"/>
      <w:r w:rsidRPr="0020238F">
        <w:rPr>
          <w:color w:val="000000"/>
          <w:szCs w:val="24"/>
          <w:lang w:val="en-US"/>
        </w:rPr>
        <w:t>Nicolò</w:t>
      </w:r>
      <w:proofErr w:type="spellEnd"/>
      <w:r w:rsidRPr="0020238F">
        <w:rPr>
          <w:color w:val="000000"/>
          <w:szCs w:val="24"/>
          <w:lang w:val="en-US"/>
        </w:rPr>
        <w:t xml:space="preserve"> and San </w:t>
      </w:r>
      <w:proofErr w:type="spellStart"/>
      <w:r w:rsidRPr="0020238F">
        <w:rPr>
          <w:color w:val="000000"/>
          <w:szCs w:val="24"/>
          <w:lang w:val="en-US"/>
        </w:rPr>
        <w:t>Miniato</w:t>
      </w:r>
      <w:proofErr w:type="spellEnd"/>
      <w:r w:rsidRPr="0020238F">
        <w:rPr>
          <w:color w:val="000000"/>
          <w:szCs w:val="24"/>
          <w:lang w:val="en-US"/>
        </w:rPr>
        <w:t xml:space="preserve"> are both in the </w:t>
      </w:r>
      <w:r w:rsidR="001D347A" w:rsidRPr="0020238F">
        <w:rPr>
          <w:color w:val="000000"/>
          <w:szCs w:val="24"/>
          <w:lang w:val="en-US"/>
        </w:rPr>
        <w:t xml:space="preserve">SE </w:t>
      </w:r>
      <w:r w:rsidRPr="0020238F">
        <w:rPr>
          <w:color w:val="000000"/>
          <w:szCs w:val="24"/>
          <w:lang w:val="en-US"/>
        </w:rPr>
        <w:t>part of F</w:t>
      </w:r>
      <w:r w:rsidR="00D526B8" w:rsidRPr="0020238F">
        <w:rPr>
          <w:color w:val="000000"/>
          <w:szCs w:val="24"/>
          <w:lang w:val="en-US"/>
        </w:rPr>
        <w:t>l</w:t>
      </w:r>
      <w:r w:rsidRPr="0020238F">
        <w:rPr>
          <w:color w:val="000000"/>
          <w:szCs w:val="24"/>
          <w:lang w:val="en-US"/>
        </w:rPr>
        <w:t xml:space="preserve">orence that now is better known to tourists thanks to </w:t>
      </w:r>
      <w:proofErr w:type="spellStart"/>
      <w:r w:rsidRPr="0020238F">
        <w:rPr>
          <w:color w:val="000000"/>
          <w:szCs w:val="24"/>
          <w:lang w:val="en-US"/>
        </w:rPr>
        <w:t>Piazzal</w:t>
      </w:r>
      <w:r w:rsidR="00D526B8" w:rsidRPr="0020238F">
        <w:rPr>
          <w:color w:val="000000"/>
          <w:szCs w:val="24"/>
          <w:lang w:val="en-US"/>
        </w:rPr>
        <w:t>e</w:t>
      </w:r>
      <w:proofErr w:type="spellEnd"/>
      <w:r w:rsidR="00D526B8" w:rsidRPr="0020238F">
        <w:rPr>
          <w:color w:val="000000"/>
          <w:szCs w:val="24"/>
          <w:lang w:val="en-US"/>
        </w:rPr>
        <w:t xml:space="preserve"> Michelange</w:t>
      </w:r>
      <w:r w:rsidRPr="0020238F">
        <w:rPr>
          <w:color w:val="000000"/>
          <w:szCs w:val="24"/>
          <w:lang w:val="en-US"/>
        </w:rPr>
        <w:t>lo</w:t>
      </w:r>
      <w:r w:rsidR="004D3F32" w:rsidRPr="0020238F">
        <w:rPr>
          <w:color w:val="000000"/>
          <w:szCs w:val="24"/>
          <w:lang w:val="en-US"/>
        </w:rPr>
        <w:t>, with the corresponding view… and parking area</w:t>
      </w:r>
      <w:r w:rsidRPr="0020238F">
        <w:rPr>
          <w:color w:val="000000"/>
          <w:szCs w:val="24"/>
          <w:lang w:val="en-US"/>
        </w:rPr>
        <w:t xml:space="preserve">. </w:t>
      </w:r>
    </w:p>
    <w:p w:rsidR="00BC28B7" w:rsidRPr="0020238F" w:rsidRDefault="00BC28B7" w:rsidP="00BC28B7">
      <w:pPr>
        <w:rPr>
          <w:color w:val="000000"/>
          <w:szCs w:val="24"/>
          <w:lang w:val="en-US"/>
        </w:rPr>
      </w:pPr>
      <w:r w:rsidRPr="0020238F">
        <w:rPr>
          <w:color w:val="000000"/>
          <w:szCs w:val="24"/>
          <w:lang w:val="en-US"/>
        </w:rPr>
        <w:t xml:space="preserve">Also the way in which the game is mentioned is of some interest: the players were playing a card game, </w:t>
      </w:r>
      <w:r w:rsidR="007F3620" w:rsidRPr="0020238F">
        <w:rPr>
          <w:color w:val="000000"/>
          <w:szCs w:val="24"/>
          <w:lang w:val="en-US"/>
        </w:rPr>
        <w:t xml:space="preserve">namely </w:t>
      </w:r>
      <w:proofErr w:type="spellStart"/>
      <w:r w:rsidR="00036264" w:rsidRPr="0020238F">
        <w:rPr>
          <w:color w:val="000000"/>
          <w:szCs w:val="24"/>
          <w:lang w:val="en-US"/>
        </w:rPr>
        <w:t>Diritta</w:t>
      </w:r>
      <w:proofErr w:type="spellEnd"/>
      <w:r w:rsidRPr="0020238F">
        <w:rPr>
          <w:color w:val="000000"/>
          <w:szCs w:val="24"/>
          <w:lang w:val="en-US"/>
        </w:rPr>
        <w:t xml:space="preserve">. It is not absolutely certain, but this statement may even be interpreted as if a card game played in these conditions could not be different from </w:t>
      </w:r>
      <w:proofErr w:type="spellStart"/>
      <w:r w:rsidR="00036264" w:rsidRPr="0020238F">
        <w:rPr>
          <w:color w:val="000000"/>
          <w:szCs w:val="24"/>
          <w:lang w:val="en-US"/>
        </w:rPr>
        <w:t>Diritta</w:t>
      </w:r>
      <w:proofErr w:type="spellEnd"/>
      <w:r w:rsidRPr="0020238F">
        <w:rPr>
          <w:color w:val="000000"/>
          <w:szCs w:val="24"/>
          <w:lang w:val="en-US"/>
        </w:rPr>
        <w:t>.</w:t>
      </w:r>
    </w:p>
    <w:p w:rsidR="006033B1" w:rsidRPr="0020238F" w:rsidRDefault="00106C83" w:rsidP="00CD7C4C">
      <w:pPr>
        <w:rPr>
          <w:color w:val="000000"/>
          <w:szCs w:val="24"/>
          <w:lang w:val="en-US"/>
        </w:rPr>
      </w:pPr>
      <w:r w:rsidRPr="0020238F">
        <w:rPr>
          <w:color w:val="000000"/>
          <w:szCs w:val="24"/>
          <w:lang w:val="en-US"/>
        </w:rPr>
        <w:t xml:space="preserve">Let us come back to the trial. </w:t>
      </w:r>
      <w:r w:rsidR="001D347A" w:rsidRPr="0020238F">
        <w:rPr>
          <w:color w:val="000000"/>
          <w:szCs w:val="24"/>
          <w:lang w:val="en-US"/>
        </w:rPr>
        <w:t>The report had been posted in March and the box had been opened on 24 April; now, still</w:t>
      </w:r>
      <w:r w:rsidR="00C568E2" w:rsidRPr="0020238F">
        <w:rPr>
          <w:color w:val="000000"/>
          <w:szCs w:val="24"/>
          <w:lang w:val="en-US"/>
        </w:rPr>
        <w:t xml:space="preserve"> </w:t>
      </w:r>
      <w:r w:rsidR="001D347A" w:rsidRPr="0020238F">
        <w:rPr>
          <w:color w:val="000000"/>
          <w:szCs w:val="24"/>
          <w:lang w:val="en-US"/>
        </w:rPr>
        <w:t>in A</w:t>
      </w:r>
      <w:r w:rsidR="00C568E2" w:rsidRPr="0020238F">
        <w:rPr>
          <w:color w:val="000000"/>
          <w:szCs w:val="24"/>
          <w:lang w:val="en-US"/>
        </w:rPr>
        <w:t>pril 1433</w:t>
      </w:r>
      <w:r w:rsidR="001D347A" w:rsidRPr="0020238F">
        <w:rPr>
          <w:color w:val="000000"/>
          <w:szCs w:val="24"/>
          <w:lang w:val="en-US"/>
        </w:rPr>
        <w:t>,</w:t>
      </w:r>
      <w:r w:rsidR="00C568E2" w:rsidRPr="0020238F">
        <w:rPr>
          <w:color w:val="000000"/>
          <w:szCs w:val="24"/>
          <w:lang w:val="en-US"/>
        </w:rPr>
        <w:t xml:space="preserve"> the judges </w:t>
      </w:r>
      <w:r w:rsidR="001D347A" w:rsidRPr="0020238F">
        <w:rPr>
          <w:color w:val="000000"/>
          <w:szCs w:val="24"/>
          <w:lang w:val="en-US"/>
        </w:rPr>
        <w:t xml:space="preserve">examine the three persons indicted </w:t>
      </w:r>
      <w:r w:rsidR="00C568E2" w:rsidRPr="0020238F">
        <w:rPr>
          <w:color w:val="000000"/>
          <w:szCs w:val="24"/>
          <w:lang w:val="en-US"/>
        </w:rPr>
        <w:t>and</w:t>
      </w:r>
      <w:r w:rsidR="001D347A" w:rsidRPr="0020238F">
        <w:rPr>
          <w:color w:val="000000"/>
          <w:szCs w:val="24"/>
          <w:lang w:val="en-US"/>
        </w:rPr>
        <w:t xml:space="preserve"> ultimately</w:t>
      </w:r>
      <w:r w:rsidR="00C568E2" w:rsidRPr="0020238F">
        <w:rPr>
          <w:color w:val="000000"/>
          <w:szCs w:val="24"/>
          <w:lang w:val="en-US"/>
        </w:rPr>
        <w:t xml:space="preserve"> find </w:t>
      </w:r>
      <w:r w:rsidR="001D347A" w:rsidRPr="0020238F">
        <w:rPr>
          <w:color w:val="000000"/>
          <w:szCs w:val="24"/>
          <w:lang w:val="en-US"/>
        </w:rPr>
        <w:t xml:space="preserve">all of them </w:t>
      </w:r>
      <w:r w:rsidR="00C568E2" w:rsidRPr="0020238F">
        <w:rPr>
          <w:color w:val="000000"/>
          <w:szCs w:val="24"/>
          <w:lang w:val="en-US"/>
        </w:rPr>
        <w:t>not guilty.</w:t>
      </w:r>
    </w:p>
    <w:p w:rsidR="00BC28B7" w:rsidRPr="0020238F" w:rsidRDefault="004D1E82" w:rsidP="00E32337">
      <w:pPr>
        <w:rPr>
          <w:color w:val="000000"/>
          <w:szCs w:val="24"/>
          <w:lang w:val="en-GB"/>
        </w:rPr>
      </w:pPr>
      <w:r w:rsidRPr="0020238F">
        <w:rPr>
          <w:color w:val="000000"/>
          <w:szCs w:val="24"/>
          <w:lang w:val="en-GB"/>
        </w:rPr>
        <w:t>Th</w:t>
      </w:r>
      <w:r w:rsidR="00BC28B7" w:rsidRPr="0020238F">
        <w:rPr>
          <w:color w:val="000000"/>
          <w:szCs w:val="24"/>
          <w:lang w:val="en-GB"/>
        </w:rPr>
        <w:t>is</w:t>
      </w:r>
      <w:r w:rsidRPr="0020238F">
        <w:rPr>
          <w:color w:val="000000"/>
          <w:szCs w:val="24"/>
          <w:lang w:val="en-GB"/>
        </w:rPr>
        <w:t xml:space="preserve"> verdict is easy to understand, and </w:t>
      </w:r>
      <w:r w:rsidR="00BC28B7" w:rsidRPr="0020238F">
        <w:rPr>
          <w:color w:val="000000"/>
          <w:szCs w:val="24"/>
          <w:lang w:val="en-GB"/>
        </w:rPr>
        <w:t>for</w:t>
      </w:r>
      <w:r w:rsidRPr="0020238F">
        <w:rPr>
          <w:color w:val="000000"/>
          <w:szCs w:val="24"/>
          <w:lang w:val="en-GB"/>
        </w:rPr>
        <w:t xml:space="preserve"> more than one reason. No witness was </w:t>
      </w:r>
      <w:r w:rsidR="00BC28B7" w:rsidRPr="0020238F">
        <w:rPr>
          <w:color w:val="000000"/>
          <w:szCs w:val="24"/>
          <w:lang w:val="en-GB"/>
        </w:rPr>
        <w:t>called upon</w:t>
      </w:r>
      <w:r w:rsidRPr="0020238F">
        <w:rPr>
          <w:color w:val="000000"/>
          <w:szCs w:val="24"/>
          <w:lang w:val="en-GB"/>
        </w:rPr>
        <w:t xml:space="preserve"> and the players could </w:t>
      </w:r>
      <w:r w:rsidR="00BC28B7" w:rsidRPr="0020238F">
        <w:rPr>
          <w:color w:val="000000"/>
          <w:szCs w:val="24"/>
          <w:lang w:val="en-GB"/>
        </w:rPr>
        <w:t xml:space="preserve">thus </w:t>
      </w:r>
      <w:r w:rsidRPr="0020238F">
        <w:rPr>
          <w:color w:val="000000"/>
          <w:szCs w:val="24"/>
          <w:lang w:val="en-GB"/>
        </w:rPr>
        <w:t xml:space="preserve">maintain that they </w:t>
      </w:r>
      <w:r w:rsidR="00BC28B7" w:rsidRPr="0020238F">
        <w:rPr>
          <w:color w:val="000000"/>
          <w:szCs w:val="24"/>
          <w:lang w:val="en-GB"/>
        </w:rPr>
        <w:t>had not</w:t>
      </w:r>
      <w:r w:rsidRPr="0020238F">
        <w:rPr>
          <w:color w:val="000000"/>
          <w:szCs w:val="24"/>
          <w:lang w:val="en-GB"/>
        </w:rPr>
        <w:t xml:space="preserve"> play</w:t>
      </w:r>
      <w:r w:rsidR="00BC28B7" w:rsidRPr="0020238F">
        <w:rPr>
          <w:color w:val="000000"/>
          <w:szCs w:val="24"/>
          <w:lang w:val="en-GB"/>
        </w:rPr>
        <w:t>ed at all. All the three</w:t>
      </w:r>
      <w:r w:rsidRPr="0020238F">
        <w:rPr>
          <w:color w:val="000000"/>
          <w:szCs w:val="24"/>
          <w:lang w:val="en-GB"/>
        </w:rPr>
        <w:t xml:space="preserve"> most feared aspects of card playing were clearly absent here: </w:t>
      </w:r>
      <w:r w:rsidR="00BC28B7" w:rsidRPr="0020238F">
        <w:rPr>
          <w:color w:val="000000"/>
          <w:szCs w:val="24"/>
          <w:lang w:val="en-GB"/>
        </w:rPr>
        <w:t>plausibly, no great money was staked; no blasphemy had been reported;</w:t>
      </w:r>
      <w:r w:rsidRPr="0020238F">
        <w:rPr>
          <w:color w:val="000000"/>
          <w:szCs w:val="24"/>
          <w:lang w:val="en-GB"/>
        </w:rPr>
        <w:t xml:space="preserve"> no </w:t>
      </w:r>
      <w:r w:rsidR="00BC28B7" w:rsidRPr="0020238F">
        <w:rPr>
          <w:color w:val="000000"/>
          <w:szCs w:val="24"/>
          <w:lang w:val="en-GB"/>
        </w:rPr>
        <w:t xml:space="preserve">treacherous </w:t>
      </w:r>
      <w:r w:rsidRPr="0020238F">
        <w:rPr>
          <w:color w:val="000000"/>
          <w:szCs w:val="24"/>
          <w:lang w:val="en-GB"/>
        </w:rPr>
        <w:t xml:space="preserve">gathering of many persons had occurred. </w:t>
      </w:r>
    </w:p>
    <w:p w:rsidR="00E32337" w:rsidRPr="0020238F" w:rsidRDefault="00FC279B" w:rsidP="00E32337">
      <w:pPr>
        <w:rPr>
          <w:color w:val="000000"/>
          <w:szCs w:val="24"/>
          <w:lang w:val="en-GB"/>
        </w:rPr>
      </w:pPr>
      <w:r w:rsidRPr="0020238F">
        <w:rPr>
          <w:color w:val="000000"/>
          <w:szCs w:val="24"/>
          <w:lang w:val="en-GB"/>
        </w:rPr>
        <w:t>In particular</w:t>
      </w:r>
      <w:r w:rsidR="004D1E82" w:rsidRPr="0020238F">
        <w:rPr>
          <w:color w:val="000000"/>
          <w:szCs w:val="24"/>
          <w:lang w:val="en-GB"/>
        </w:rPr>
        <w:t xml:space="preserve">, </w:t>
      </w:r>
      <w:r w:rsidR="00BC7554" w:rsidRPr="0020238F">
        <w:rPr>
          <w:color w:val="000000"/>
          <w:szCs w:val="24"/>
          <w:lang w:val="en-US"/>
        </w:rPr>
        <w:t xml:space="preserve">I am convinced that, at least in part, the merit of this verdict must </w:t>
      </w:r>
      <w:r w:rsidR="0063746E" w:rsidRPr="0020238F">
        <w:rPr>
          <w:color w:val="000000"/>
          <w:szCs w:val="24"/>
          <w:lang w:val="en-US"/>
        </w:rPr>
        <w:t xml:space="preserve">be traced back to the specific game of </w:t>
      </w:r>
      <w:proofErr w:type="spellStart"/>
      <w:r w:rsidR="00036264" w:rsidRPr="0020238F">
        <w:rPr>
          <w:color w:val="000000"/>
          <w:szCs w:val="24"/>
          <w:lang w:val="en-US"/>
        </w:rPr>
        <w:t>Diritta</w:t>
      </w:r>
      <w:proofErr w:type="spellEnd"/>
      <w:r w:rsidR="0063746E" w:rsidRPr="0020238F">
        <w:rPr>
          <w:color w:val="000000"/>
          <w:szCs w:val="24"/>
          <w:lang w:val="en-US"/>
        </w:rPr>
        <w:t xml:space="preserve">, not one of the various gambling games that could be played with naibi, but the most popular </w:t>
      </w:r>
      <w:r w:rsidR="00483236" w:rsidRPr="0020238F">
        <w:rPr>
          <w:color w:val="000000"/>
          <w:szCs w:val="24"/>
          <w:lang w:val="en-US"/>
        </w:rPr>
        <w:t>card game of the time</w:t>
      </w:r>
      <w:r w:rsidR="006060F6" w:rsidRPr="0020238F">
        <w:rPr>
          <w:color w:val="000000"/>
          <w:szCs w:val="24"/>
          <w:lang w:val="en-US"/>
        </w:rPr>
        <w:t xml:space="preserve">, which could be </w:t>
      </w:r>
      <w:r w:rsidR="00E32337" w:rsidRPr="0020238F">
        <w:rPr>
          <w:color w:val="000000"/>
          <w:szCs w:val="24"/>
          <w:lang w:val="en-US"/>
        </w:rPr>
        <w:t xml:space="preserve">played for </w:t>
      </w:r>
      <w:r w:rsidR="001D347A" w:rsidRPr="0020238F">
        <w:rPr>
          <w:color w:val="000000"/>
          <w:szCs w:val="24"/>
          <w:lang w:val="en-US"/>
        </w:rPr>
        <w:t xml:space="preserve">a </w:t>
      </w:r>
      <w:r w:rsidR="00E32337" w:rsidRPr="0020238F">
        <w:rPr>
          <w:color w:val="000000"/>
          <w:szCs w:val="24"/>
          <w:lang w:val="en-US"/>
        </w:rPr>
        <w:t>modest</w:t>
      </w:r>
      <w:r w:rsidR="001D347A" w:rsidRPr="0020238F">
        <w:rPr>
          <w:color w:val="000000"/>
          <w:szCs w:val="24"/>
          <w:lang w:val="en-US"/>
        </w:rPr>
        <w:t xml:space="preserve"> amount of</w:t>
      </w:r>
      <w:r w:rsidR="00E32337" w:rsidRPr="0020238F">
        <w:rPr>
          <w:color w:val="000000"/>
          <w:szCs w:val="24"/>
          <w:lang w:val="en-US"/>
        </w:rPr>
        <w:t xml:space="preserve"> money</w:t>
      </w:r>
      <w:r w:rsidR="00BC28B7" w:rsidRPr="0020238F">
        <w:rPr>
          <w:color w:val="000000"/>
          <w:szCs w:val="24"/>
          <w:lang w:val="en-US"/>
        </w:rPr>
        <w:t>,</w:t>
      </w:r>
      <w:r w:rsidR="001D347A" w:rsidRPr="0020238F">
        <w:rPr>
          <w:color w:val="000000"/>
          <w:szCs w:val="24"/>
          <w:lang w:val="en-US"/>
        </w:rPr>
        <w:t xml:space="preserve"> or no money at all</w:t>
      </w:r>
      <w:r w:rsidR="00E32337" w:rsidRPr="0020238F">
        <w:rPr>
          <w:color w:val="000000"/>
          <w:szCs w:val="24"/>
          <w:lang w:val="en-GB"/>
        </w:rPr>
        <w:t>.</w:t>
      </w:r>
    </w:p>
    <w:p w:rsidR="00625C22" w:rsidRPr="0020238F" w:rsidRDefault="000614A2" w:rsidP="00C36667">
      <w:pPr>
        <w:rPr>
          <w:color w:val="000000"/>
          <w:szCs w:val="24"/>
          <w:lang w:val="en-GB"/>
        </w:rPr>
      </w:pPr>
      <w:r w:rsidRPr="0020238F">
        <w:rPr>
          <w:color w:val="000000"/>
          <w:szCs w:val="24"/>
          <w:lang w:val="en-GB"/>
        </w:rPr>
        <w:t xml:space="preserve">Another important information that we obtain on the game is that it could be played by two persons. This does not exclude that the game could also be played by two couples of players or among four individual players (as it occurred for several popular games later on), but that it could be played by two individual players is now certain, and this </w:t>
      </w:r>
      <w:r w:rsidR="00625C22" w:rsidRPr="0020238F">
        <w:rPr>
          <w:color w:val="000000"/>
          <w:szCs w:val="24"/>
          <w:lang w:val="en-GB"/>
        </w:rPr>
        <w:t xml:space="preserve">fact </w:t>
      </w:r>
      <w:r w:rsidRPr="0020238F">
        <w:rPr>
          <w:color w:val="000000"/>
          <w:szCs w:val="24"/>
          <w:lang w:val="en-GB"/>
        </w:rPr>
        <w:t xml:space="preserve">is </w:t>
      </w:r>
      <w:r w:rsidR="00625C22" w:rsidRPr="0020238F">
        <w:rPr>
          <w:color w:val="000000"/>
          <w:szCs w:val="24"/>
          <w:lang w:val="en-GB"/>
        </w:rPr>
        <w:t>as</w:t>
      </w:r>
      <w:r w:rsidRPr="0020238F">
        <w:rPr>
          <w:color w:val="000000"/>
          <w:szCs w:val="24"/>
          <w:lang w:val="en-GB"/>
        </w:rPr>
        <w:t>certain</w:t>
      </w:r>
      <w:r w:rsidR="00625C22" w:rsidRPr="0020238F">
        <w:rPr>
          <w:color w:val="000000"/>
          <w:szCs w:val="24"/>
          <w:lang w:val="en-GB"/>
        </w:rPr>
        <w:t>ed</w:t>
      </w:r>
      <w:r w:rsidRPr="0020238F">
        <w:rPr>
          <w:color w:val="000000"/>
          <w:szCs w:val="24"/>
          <w:lang w:val="en-GB"/>
        </w:rPr>
        <w:t xml:space="preserve"> already </w:t>
      </w:r>
      <w:r w:rsidR="00625C22" w:rsidRPr="0020238F">
        <w:rPr>
          <w:color w:val="000000"/>
          <w:szCs w:val="24"/>
          <w:lang w:val="en-GB"/>
        </w:rPr>
        <w:t>when</w:t>
      </w:r>
      <w:r w:rsidRPr="0020238F">
        <w:rPr>
          <w:color w:val="000000"/>
          <w:szCs w:val="24"/>
          <w:lang w:val="en-GB"/>
        </w:rPr>
        <w:t xml:space="preserve"> we find this game quoted in Florence</w:t>
      </w:r>
      <w:r w:rsidR="00625C22" w:rsidRPr="0020238F">
        <w:rPr>
          <w:color w:val="000000"/>
          <w:szCs w:val="24"/>
          <w:lang w:val="en-GB"/>
        </w:rPr>
        <w:t xml:space="preserve"> for the first time</w:t>
      </w:r>
      <w:r w:rsidRPr="0020238F">
        <w:rPr>
          <w:color w:val="000000"/>
          <w:szCs w:val="24"/>
          <w:lang w:val="en-GB"/>
        </w:rPr>
        <w:t>.</w:t>
      </w:r>
      <w:r w:rsidR="00C36667" w:rsidRPr="0020238F">
        <w:rPr>
          <w:color w:val="000000"/>
          <w:szCs w:val="24"/>
          <w:lang w:val="en-GB"/>
        </w:rPr>
        <w:t xml:space="preserve"> </w:t>
      </w:r>
    </w:p>
    <w:p w:rsidR="0063746E" w:rsidRPr="0020238F" w:rsidRDefault="006877E4" w:rsidP="00C36667">
      <w:pPr>
        <w:rPr>
          <w:color w:val="000000"/>
          <w:szCs w:val="24"/>
          <w:lang w:val="en-GB"/>
        </w:rPr>
      </w:pPr>
      <w:r w:rsidRPr="0020238F">
        <w:rPr>
          <w:color w:val="000000"/>
          <w:szCs w:val="24"/>
          <w:lang w:val="en-US"/>
        </w:rPr>
        <w:t xml:space="preserve">At the time, </w:t>
      </w:r>
      <w:proofErr w:type="spellStart"/>
      <w:r w:rsidR="00036264" w:rsidRPr="0020238F">
        <w:rPr>
          <w:color w:val="000000"/>
          <w:szCs w:val="24"/>
          <w:lang w:val="en-US"/>
        </w:rPr>
        <w:t>Diritta</w:t>
      </w:r>
      <w:proofErr w:type="spellEnd"/>
      <w:r w:rsidR="00036264" w:rsidRPr="0020238F">
        <w:rPr>
          <w:color w:val="000000"/>
          <w:szCs w:val="24"/>
          <w:lang w:val="en-US"/>
        </w:rPr>
        <w:t xml:space="preserve"> </w:t>
      </w:r>
      <w:r w:rsidR="004D1E82" w:rsidRPr="0020238F">
        <w:rPr>
          <w:color w:val="000000"/>
          <w:szCs w:val="24"/>
          <w:lang w:val="en-US"/>
        </w:rPr>
        <w:t xml:space="preserve">was not yet formally allowed, but </w:t>
      </w:r>
      <w:r w:rsidRPr="0020238F">
        <w:rPr>
          <w:color w:val="000000"/>
          <w:szCs w:val="24"/>
          <w:lang w:val="en-US"/>
        </w:rPr>
        <w:t xml:space="preserve">in a few years it was precisely </w:t>
      </w:r>
      <w:r w:rsidR="000614A2" w:rsidRPr="0020238F">
        <w:rPr>
          <w:color w:val="000000"/>
          <w:szCs w:val="24"/>
          <w:lang w:val="en-US"/>
        </w:rPr>
        <w:t>the</w:t>
      </w:r>
      <w:r w:rsidR="004D1E82" w:rsidRPr="0020238F">
        <w:rPr>
          <w:color w:val="000000"/>
          <w:szCs w:val="24"/>
          <w:lang w:val="en-US"/>
        </w:rPr>
        <w:t xml:space="preserve"> game</w:t>
      </w:r>
      <w:r w:rsidR="000614A2" w:rsidRPr="0020238F">
        <w:rPr>
          <w:color w:val="000000"/>
          <w:szCs w:val="24"/>
          <w:lang w:val="en-US"/>
        </w:rPr>
        <w:t xml:space="preserve"> that</w:t>
      </w:r>
      <w:r w:rsidRPr="0020238F">
        <w:rPr>
          <w:color w:val="000000"/>
          <w:szCs w:val="24"/>
          <w:lang w:val="en-US"/>
        </w:rPr>
        <w:t xml:space="preserve"> </w:t>
      </w:r>
      <w:r w:rsidR="000614A2" w:rsidRPr="0020238F">
        <w:rPr>
          <w:color w:val="000000"/>
          <w:szCs w:val="24"/>
          <w:lang w:val="en-US"/>
        </w:rPr>
        <w:t xml:space="preserve">officially </w:t>
      </w:r>
      <w:r w:rsidR="00BC28B7" w:rsidRPr="0020238F">
        <w:rPr>
          <w:color w:val="000000"/>
          <w:szCs w:val="24"/>
          <w:lang w:val="en-US"/>
        </w:rPr>
        <w:t>emerge</w:t>
      </w:r>
      <w:r w:rsidR="000614A2" w:rsidRPr="0020238F">
        <w:rPr>
          <w:color w:val="000000"/>
          <w:szCs w:val="24"/>
          <w:lang w:val="en-US"/>
        </w:rPr>
        <w:t>d</w:t>
      </w:r>
      <w:r w:rsidRPr="0020238F">
        <w:rPr>
          <w:color w:val="000000"/>
          <w:szCs w:val="24"/>
          <w:lang w:val="en-US"/>
        </w:rPr>
        <w:t xml:space="preserve"> as an exception in the lists of games prohibited by the law.</w:t>
      </w:r>
    </w:p>
    <w:p w:rsidR="004D1E82" w:rsidRPr="0020238F" w:rsidRDefault="004D1E82" w:rsidP="00CD7C4C">
      <w:pPr>
        <w:rPr>
          <w:color w:val="000000"/>
          <w:szCs w:val="24"/>
          <w:lang w:val="en-US"/>
        </w:rPr>
      </w:pPr>
    </w:p>
    <w:p w:rsidR="00C36667" w:rsidRPr="0020238F" w:rsidRDefault="00625C22" w:rsidP="00C36667">
      <w:pPr>
        <w:pStyle w:val="Heading2"/>
        <w:rPr>
          <w:lang w:val="en-US"/>
        </w:rPr>
      </w:pPr>
      <w:proofErr w:type="spellStart"/>
      <w:r w:rsidRPr="0020238F">
        <w:rPr>
          <w:lang w:val="en-US"/>
        </w:rPr>
        <w:t>Pilucchino</w:t>
      </w:r>
      <w:proofErr w:type="spellEnd"/>
      <w:r w:rsidRPr="0020238F">
        <w:rPr>
          <w:lang w:val="en-US"/>
        </w:rPr>
        <w:t xml:space="preserve"> − t</w:t>
      </w:r>
      <w:r w:rsidR="00C36667" w:rsidRPr="0020238F">
        <w:rPr>
          <w:lang w:val="en-US"/>
        </w:rPr>
        <w:t xml:space="preserve">he game </w:t>
      </w:r>
    </w:p>
    <w:p w:rsidR="00C36667" w:rsidRPr="0020238F" w:rsidRDefault="00C36667" w:rsidP="00C36667">
      <w:pPr>
        <w:rPr>
          <w:color w:val="000000"/>
          <w:lang w:val="en-US"/>
        </w:rPr>
      </w:pPr>
    </w:p>
    <w:p w:rsidR="00D80DE4" w:rsidRPr="0020238F" w:rsidRDefault="00C36667" w:rsidP="00C36667">
      <w:pPr>
        <w:rPr>
          <w:color w:val="000000"/>
          <w:lang w:val="en-US"/>
        </w:rPr>
      </w:pPr>
      <w:r w:rsidRPr="0020238F">
        <w:rPr>
          <w:color w:val="000000"/>
          <w:lang w:val="en-US"/>
        </w:rPr>
        <w:t xml:space="preserve">This section deals with the ancient card game of </w:t>
      </w:r>
      <w:proofErr w:type="spellStart"/>
      <w:r w:rsidR="00036264" w:rsidRPr="0020238F">
        <w:rPr>
          <w:color w:val="000000"/>
          <w:lang w:val="en-US"/>
        </w:rPr>
        <w:t>Pilucchino</w:t>
      </w:r>
      <w:proofErr w:type="spellEnd"/>
      <w:r w:rsidRPr="0020238F">
        <w:rPr>
          <w:color w:val="000000"/>
          <w:lang w:val="en-US"/>
        </w:rPr>
        <w:t xml:space="preserve">. First of all, we have to discuss </w:t>
      </w:r>
      <w:r w:rsidRPr="0020238F">
        <w:rPr>
          <w:strike/>
          <w:color w:val="000000"/>
          <w:lang w:val="en-US"/>
        </w:rPr>
        <w:t>its</w:t>
      </w:r>
      <w:r w:rsidRPr="0020238F">
        <w:rPr>
          <w:color w:val="000000"/>
          <w:lang w:val="en-US"/>
        </w:rPr>
        <w:t xml:space="preserve"> </w:t>
      </w:r>
      <w:r w:rsidR="007F3620" w:rsidRPr="0020238F">
        <w:rPr>
          <w:color w:val="000000"/>
          <w:lang w:val="en-US"/>
        </w:rPr>
        <w:t xml:space="preserve">the </w:t>
      </w:r>
      <w:r w:rsidRPr="0020238F">
        <w:rPr>
          <w:color w:val="000000"/>
          <w:lang w:val="en-US"/>
        </w:rPr>
        <w:t>name itself. This Italian unusual name can certainly be associated with the verb “</w:t>
      </w:r>
      <w:proofErr w:type="spellStart"/>
      <w:r w:rsidRPr="0020238F">
        <w:rPr>
          <w:color w:val="000000"/>
          <w:lang w:val="en-US"/>
        </w:rPr>
        <w:t>piluccare</w:t>
      </w:r>
      <w:proofErr w:type="spellEnd"/>
      <w:r w:rsidRPr="0020238F">
        <w:rPr>
          <w:color w:val="000000"/>
          <w:lang w:val="en-US"/>
        </w:rPr>
        <w:t xml:space="preserve">”, not very usual either. To explain its meaning, we have to enter into a vineyard. It is late in the summer and the bunches are ripe. You wish to cut a bunch and eat it, but there is an alternative way: instead of cutting the whole bunch of grapes, you just take only one or two grapes from many bunches. </w:t>
      </w:r>
    </w:p>
    <w:p w:rsidR="00C36667" w:rsidRPr="0020238F" w:rsidRDefault="00C36667" w:rsidP="00C36667">
      <w:pPr>
        <w:rPr>
          <w:color w:val="000000"/>
          <w:lang w:val="en-US"/>
        </w:rPr>
      </w:pPr>
      <w:r w:rsidRPr="0020238F">
        <w:rPr>
          <w:color w:val="000000"/>
          <w:lang w:val="en-US"/>
        </w:rPr>
        <w:lastRenderedPageBreak/>
        <w:t xml:space="preserve">This is how I would have explained the meaning of this verb, but I have then found that this </w:t>
      </w:r>
      <w:r w:rsidR="00625C22" w:rsidRPr="0020238F">
        <w:rPr>
          <w:color w:val="000000"/>
          <w:lang w:val="en-US"/>
        </w:rPr>
        <w:t>personal</w:t>
      </w:r>
      <w:r w:rsidRPr="0020238F">
        <w:rPr>
          <w:color w:val="000000"/>
          <w:lang w:val="en-US"/>
        </w:rPr>
        <w:t xml:space="preserve"> idea is not very original. Even my English </w:t>
      </w:r>
      <w:proofErr w:type="spellStart"/>
      <w:r w:rsidRPr="0020238F">
        <w:rPr>
          <w:color w:val="000000"/>
          <w:lang w:val="en-US"/>
        </w:rPr>
        <w:t>Zanichelli</w:t>
      </w:r>
      <w:proofErr w:type="spellEnd"/>
      <w:r w:rsidRPr="0020238F">
        <w:rPr>
          <w:color w:val="000000"/>
          <w:lang w:val="en-US"/>
        </w:rPr>
        <w:t xml:space="preserve"> dictionary reports, for </w:t>
      </w:r>
      <w:proofErr w:type="spellStart"/>
      <w:r w:rsidRPr="0020238F">
        <w:rPr>
          <w:color w:val="000000"/>
          <w:lang w:val="en-US"/>
        </w:rPr>
        <w:t>piluccare</w:t>
      </w:r>
      <w:proofErr w:type="spellEnd"/>
      <w:r w:rsidRPr="0020238F">
        <w:rPr>
          <w:color w:val="000000"/>
          <w:lang w:val="en-US"/>
        </w:rPr>
        <w:t>: to pick (grapes from the bunch); and the parenthesis is not mine, it is in the dictionary!</w:t>
      </w:r>
      <w:r w:rsidR="00625C22" w:rsidRPr="0020238F">
        <w:rPr>
          <w:color w:val="000000"/>
          <w:lang w:val="en-US"/>
        </w:rPr>
        <w:t xml:space="preserve"> Obviously, the meaning can be extended from </w:t>
      </w:r>
      <w:r w:rsidR="00D80DE4" w:rsidRPr="0020238F">
        <w:rPr>
          <w:color w:val="000000"/>
          <w:lang w:val="en-US"/>
        </w:rPr>
        <w:t xml:space="preserve">eating </w:t>
      </w:r>
      <w:r w:rsidR="00625C22" w:rsidRPr="0020238F">
        <w:rPr>
          <w:color w:val="000000"/>
          <w:lang w:val="en-US"/>
        </w:rPr>
        <w:t xml:space="preserve">grapes to </w:t>
      </w:r>
      <w:r w:rsidR="00D80DE4" w:rsidRPr="0020238F">
        <w:rPr>
          <w:color w:val="000000"/>
          <w:lang w:val="en-US"/>
        </w:rPr>
        <w:t xml:space="preserve">eating </w:t>
      </w:r>
      <w:r w:rsidR="00625C22" w:rsidRPr="0020238F">
        <w:rPr>
          <w:color w:val="000000"/>
          <w:lang w:val="en-US"/>
        </w:rPr>
        <w:t>sweets</w:t>
      </w:r>
      <w:r w:rsidR="00D80DE4" w:rsidRPr="0020238F">
        <w:rPr>
          <w:color w:val="000000"/>
          <w:lang w:val="en-US"/>
        </w:rPr>
        <w:t>, for instance, and may even lose its association with an eating process.</w:t>
      </w:r>
    </w:p>
    <w:p w:rsidR="00C36667" w:rsidRPr="0020238F" w:rsidRDefault="00C36667" w:rsidP="00C36667">
      <w:pPr>
        <w:rPr>
          <w:color w:val="000000"/>
          <w:lang w:val="en-US"/>
        </w:rPr>
      </w:pPr>
      <w:r w:rsidRPr="0020238F">
        <w:rPr>
          <w:color w:val="000000"/>
          <w:lang w:val="en-US"/>
        </w:rPr>
        <w:t xml:space="preserve">Now we have </w:t>
      </w:r>
      <w:r w:rsidR="00D80DE4" w:rsidRPr="0020238F">
        <w:rPr>
          <w:color w:val="000000"/>
          <w:lang w:val="en-US"/>
        </w:rPr>
        <w:t xml:space="preserve">just </w:t>
      </w:r>
      <w:r w:rsidRPr="0020238F">
        <w:rPr>
          <w:color w:val="000000"/>
          <w:lang w:val="en-US"/>
        </w:rPr>
        <w:t xml:space="preserve">to substitute something in the example above: instead of picking grapes from the bunch we actually have to pick cards from the pack. Unfortunately, I feel that this can be done in more than one way. </w:t>
      </w:r>
    </w:p>
    <w:p w:rsidR="00C36667" w:rsidRPr="0020238F" w:rsidRDefault="00C36667" w:rsidP="00C36667">
      <w:pPr>
        <w:rPr>
          <w:color w:val="000000"/>
          <w:lang w:val="en-US"/>
        </w:rPr>
      </w:pPr>
      <w:r w:rsidRPr="0020238F">
        <w:rPr>
          <w:color w:val="000000"/>
          <w:lang w:val="en-US"/>
        </w:rPr>
        <w:t>To obtain a version that is convincing (to me), I have to reflect on the ways in which we used to pick cards while playing our popular games. I understand that something could have changed from the 15</w:t>
      </w:r>
      <w:r w:rsidRPr="0020238F">
        <w:rPr>
          <w:color w:val="000000"/>
          <w:vertAlign w:val="superscript"/>
          <w:lang w:val="en-US"/>
        </w:rPr>
        <w:t>th</w:t>
      </w:r>
      <w:r w:rsidRPr="0020238F">
        <w:rPr>
          <w:color w:val="000000"/>
          <w:lang w:val="en-US"/>
        </w:rPr>
        <w:t xml:space="preserve"> century to the time of my early years, but something (maybe even more than that) has also changed from those year</w:t>
      </w:r>
      <w:r w:rsidR="00D80DE4" w:rsidRPr="0020238F">
        <w:rPr>
          <w:color w:val="000000"/>
          <w:lang w:val="en-US"/>
        </w:rPr>
        <w:t>s</w:t>
      </w:r>
      <w:r w:rsidRPr="0020238F">
        <w:rPr>
          <w:color w:val="000000"/>
          <w:lang w:val="en-US"/>
        </w:rPr>
        <w:t xml:space="preserve"> up to now. </w:t>
      </w:r>
    </w:p>
    <w:p w:rsidR="00C36667" w:rsidRPr="0020238F" w:rsidRDefault="00C36667" w:rsidP="00C36667">
      <w:pPr>
        <w:rPr>
          <w:color w:val="000000"/>
          <w:lang w:val="en-US"/>
        </w:rPr>
      </w:pPr>
      <w:r w:rsidRPr="0020238F">
        <w:rPr>
          <w:color w:val="000000"/>
          <w:lang w:val="en-US"/>
        </w:rPr>
        <w:t xml:space="preserve">In the popular game of </w:t>
      </w:r>
      <w:r w:rsidR="00036264" w:rsidRPr="0020238F">
        <w:rPr>
          <w:color w:val="000000"/>
          <w:lang w:val="en-US"/>
        </w:rPr>
        <w:t>Scopa</w:t>
      </w:r>
      <w:r w:rsidRPr="0020238F">
        <w:rPr>
          <w:color w:val="000000"/>
          <w:lang w:val="en-US"/>
        </w:rPr>
        <w:t xml:space="preserve">, nobody picked cards from the pack – they were dealt in subsequent batches of three at a time. In the game of </w:t>
      </w:r>
      <w:proofErr w:type="spellStart"/>
      <w:r w:rsidR="00036264" w:rsidRPr="0020238F">
        <w:rPr>
          <w:color w:val="000000"/>
          <w:lang w:val="en-US"/>
        </w:rPr>
        <w:t>Briscola</w:t>
      </w:r>
      <w:proofErr w:type="spellEnd"/>
      <w:r w:rsidRPr="0020238F">
        <w:rPr>
          <w:color w:val="000000"/>
          <w:lang w:val="en-US"/>
        </w:rPr>
        <w:t xml:space="preserve">, after the first deal of three cards, everybody picked one card at his turn after playing every hand. In the game of </w:t>
      </w:r>
      <w:proofErr w:type="spellStart"/>
      <w:r w:rsidR="00036264" w:rsidRPr="0020238F">
        <w:rPr>
          <w:color w:val="000000"/>
          <w:lang w:val="en-US"/>
        </w:rPr>
        <w:t>Tressette</w:t>
      </w:r>
      <w:proofErr w:type="spellEnd"/>
      <w:r w:rsidRPr="0020238F">
        <w:rPr>
          <w:color w:val="000000"/>
          <w:lang w:val="en-US"/>
        </w:rPr>
        <w:t>, the cards dealt at the beginning were no less than ten: the situation was different in case we played in two or in four. When four played, all the forty cards were dealt at the beginning. When two played, after the first deal of ten cards, everybody picked one card from the pack after every hand, until some remained on the table.</w:t>
      </w:r>
    </w:p>
    <w:p w:rsidR="00C36667" w:rsidRPr="0020238F" w:rsidRDefault="00C36667" w:rsidP="00C36667">
      <w:pPr>
        <w:rPr>
          <w:color w:val="000000"/>
          <w:lang w:val="en-US"/>
        </w:rPr>
      </w:pPr>
      <w:r w:rsidRPr="0020238F">
        <w:rPr>
          <w:color w:val="000000"/>
          <w:lang w:val="en-US"/>
        </w:rPr>
        <w:t xml:space="preserve">I </w:t>
      </w:r>
      <w:proofErr w:type="spellStart"/>
      <w:r w:rsidRPr="0020238F">
        <w:rPr>
          <w:color w:val="000000"/>
          <w:lang w:val="en-US"/>
        </w:rPr>
        <w:t>apologise</w:t>
      </w:r>
      <w:proofErr w:type="spellEnd"/>
      <w:r w:rsidRPr="0020238F">
        <w:rPr>
          <w:color w:val="000000"/>
          <w:lang w:val="en-US"/>
        </w:rPr>
        <w:t xml:space="preserve"> for having reminded in some detail the current ways of playing that were once </w:t>
      </w:r>
      <w:r w:rsidR="00D80DE4" w:rsidRPr="0020238F">
        <w:rPr>
          <w:color w:val="000000"/>
          <w:lang w:val="en-US"/>
        </w:rPr>
        <w:t>used</w:t>
      </w:r>
      <w:r w:rsidR="00F611F9" w:rsidRPr="0020238F">
        <w:rPr>
          <w:color w:val="000000"/>
          <w:lang w:val="en-US"/>
        </w:rPr>
        <w:t xml:space="preserve"> in Florence (and not only in </w:t>
      </w:r>
      <w:r w:rsidRPr="0020238F">
        <w:rPr>
          <w:color w:val="000000"/>
          <w:lang w:val="en-US"/>
        </w:rPr>
        <w:t xml:space="preserve">Florence, and not only in the far times of my youth). This may be useful </w:t>
      </w:r>
      <w:r w:rsidR="00D80DE4" w:rsidRPr="0020238F">
        <w:rPr>
          <w:color w:val="000000"/>
          <w:lang w:val="en-US"/>
        </w:rPr>
        <w:t xml:space="preserve">however </w:t>
      </w:r>
      <w:r w:rsidRPr="0020238F">
        <w:rPr>
          <w:color w:val="000000"/>
          <w:lang w:val="en-US"/>
        </w:rPr>
        <w:t xml:space="preserve">to convey the possible interpretation of the same game (as </w:t>
      </w:r>
      <w:proofErr w:type="spellStart"/>
      <w:r w:rsidR="00036264" w:rsidRPr="0020238F">
        <w:rPr>
          <w:color w:val="000000"/>
          <w:lang w:val="en-US"/>
        </w:rPr>
        <w:t>Tressette</w:t>
      </w:r>
      <w:proofErr w:type="spellEnd"/>
      <w:r w:rsidR="00036264" w:rsidRPr="0020238F">
        <w:rPr>
          <w:color w:val="000000"/>
          <w:lang w:val="en-US"/>
        </w:rPr>
        <w:t xml:space="preserve"> </w:t>
      </w:r>
      <w:r w:rsidRPr="0020238F">
        <w:rPr>
          <w:color w:val="000000"/>
          <w:lang w:val="en-US"/>
        </w:rPr>
        <w:t xml:space="preserve">above), which could be played either with subsequent deals, </w:t>
      </w:r>
      <w:r w:rsidR="00D80DE4" w:rsidRPr="0020238F">
        <w:rPr>
          <w:color w:val="000000"/>
          <w:lang w:val="en-US"/>
        </w:rPr>
        <w:t>or</w:t>
      </w:r>
      <w:r w:rsidRPr="0020238F">
        <w:rPr>
          <w:color w:val="000000"/>
          <w:lang w:val="en-US"/>
        </w:rPr>
        <w:t xml:space="preserve"> by picking cards from the table, </w:t>
      </w:r>
      <w:r w:rsidR="00D80DE4" w:rsidRPr="0020238F">
        <w:rPr>
          <w:color w:val="000000"/>
          <w:lang w:val="en-US"/>
        </w:rPr>
        <w:t>according to</w:t>
      </w:r>
      <w:r w:rsidRPr="0020238F">
        <w:rPr>
          <w:color w:val="000000"/>
          <w:lang w:val="en-US"/>
        </w:rPr>
        <w:t xml:space="preserve"> the various situations in which the game was played.</w:t>
      </w:r>
    </w:p>
    <w:p w:rsidR="00D80DE4" w:rsidRPr="0020238F" w:rsidRDefault="00C36667" w:rsidP="00C36667">
      <w:pPr>
        <w:rPr>
          <w:color w:val="000000"/>
          <w:lang w:val="en-US"/>
        </w:rPr>
      </w:pPr>
      <w:r w:rsidRPr="0020238F">
        <w:rPr>
          <w:color w:val="000000"/>
          <w:lang w:val="en-US"/>
        </w:rPr>
        <w:t xml:space="preserve">What may be my conclusion from the discussion above is that the introduction of the new name of </w:t>
      </w:r>
      <w:proofErr w:type="spellStart"/>
      <w:r w:rsidR="00036264" w:rsidRPr="0020238F">
        <w:rPr>
          <w:color w:val="000000"/>
          <w:lang w:val="en-US"/>
        </w:rPr>
        <w:t>Pilucchino</w:t>
      </w:r>
      <w:proofErr w:type="spellEnd"/>
      <w:r w:rsidR="00036264" w:rsidRPr="0020238F">
        <w:rPr>
          <w:color w:val="000000"/>
          <w:lang w:val="en-US"/>
        </w:rPr>
        <w:t xml:space="preserve"> </w:t>
      </w:r>
      <w:r w:rsidRPr="0020238F">
        <w:rPr>
          <w:color w:val="000000"/>
          <w:lang w:val="en-US"/>
        </w:rPr>
        <w:t xml:space="preserve">among the various names of the </w:t>
      </w:r>
      <w:r w:rsidR="00D80DE4" w:rsidRPr="0020238F">
        <w:rPr>
          <w:color w:val="000000"/>
          <w:lang w:val="en-US"/>
        </w:rPr>
        <w:t xml:space="preserve">early </w:t>
      </w:r>
      <w:r w:rsidRPr="0020238F">
        <w:rPr>
          <w:color w:val="000000"/>
          <w:lang w:val="en-US"/>
        </w:rPr>
        <w:t>card games could certainly correspond to a new game, but could also correspond</w:t>
      </w:r>
      <w:r w:rsidR="00D80DE4" w:rsidRPr="0020238F">
        <w:rPr>
          <w:color w:val="000000"/>
          <w:lang w:val="en-US"/>
        </w:rPr>
        <w:t>, instead,</w:t>
      </w:r>
      <w:r w:rsidRPr="0020238F">
        <w:rPr>
          <w:color w:val="000000"/>
          <w:lang w:val="en-US"/>
        </w:rPr>
        <w:t xml:space="preserve"> to a game already known and already played with different deals of the cards. </w:t>
      </w:r>
    </w:p>
    <w:p w:rsidR="00C36667" w:rsidRPr="0020238F" w:rsidRDefault="00C36667" w:rsidP="00C36667">
      <w:pPr>
        <w:rPr>
          <w:color w:val="000000"/>
          <w:lang w:val="en-US"/>
        </w:rPr>
      </w:pPr>
      <w:r w:rsidRPr="0020238F">
        <w:rPr>
          <w:color w:val="000000"/>
          <w:lang w:val="en-US"/>
        </w:rPr>
        <w:t xml:space="preserve">I have to admit that the name that I like the most for the early Florentine </w:t>
      </w:r>
      <w:r w:rsidR="00D80DE4" w:rsidRPr="0020238F">
        <w:rPr>
          <w:color w:val="000000"/>
          <w:lang w:val="en-US"/>
        </w:rPr>
        <w:t>card games</w:t>
      </w:r>
      <w:r w:rsidRPr="0020238F">
        <w:rPr>
          <w:color w:val="000000"/>
          <w:lang w:val="en-US"/>
        </w:rPr>
        <w:t xml:space="preserve"> is just </w:t>
      </w:r>
      <w:proofErr w:type="spellStart"/>
      <w:r w:rsidR="00036264" w:rsidRPr="0020238F">
        <w:rPr>
          <w:color w:val="000000"/>
          <w:lang w:val="en-US"/>
        </w:rPr>
        <w:t>Gioco</w:t>
      </w:r>
      <w:proofErr w:type="spellEnd"/>
      <w:r w:rsidR="00036264" w:rsidRPr="0020238F">
        <w:rPr>
          <w:color w:val="000000"/>
          <w:lang w:val="en-US"/>
        </w:rPr>
        <w:t xml:space="preserve"> </w:t>
      </w:r>
      <w:proofErr w:type="spellStart"/>
      <w:r w:rsidRPr="0020238F">
        <w:rPr>
          <w:color w:val="000000"/>
          <w:lang w:val="en-US"/>
        </w:rPr>
        <w:t>dei</w:t>
      </w:r>
      <w:proofErr w:type="spellEnd"/>
      <w:r w:rsidRPr="0020238F">
        <w:rPr>
          <w:color w:val="000000"/>
          <w:lang w:val="en-US"/>
        </w:rPr>
        <w:t xml:space="preserve"> </w:t>
      </w:r>
      <w:proofErr w:type="spellStart"/>
      <w:r w:rsidRPr="0020238F">
        <w:rPr>
          <w:color w:val="000000"/>
          <w:lang w:val="en-US"/>
        </w:rPr>
        <w:t>naibi</w:t>
      </w:r>
      <w:proofErr w:type="spellEnd"/>
      <w:r w:rsidRPr="0020238F">
        <w:rPr>
          <w:color w:val="000000"/>
          <w:lang w:val="en-US"/>
        </w:rPr>
        <w:t xml:space="preserve">. In the absence of further information I am inclined to trace back to this individual game a lot of names of card games that we find mentioned: </w:t>
      </w:r>
      <w:proofErr w:type="spellStart"/>
      <w:r w:rsidR="00036264" w:rsidRPr="0020238F">
        <w:rPr>
          <w:color w:val="000000"/>
          <w:lang w:val="en-US"/>
        </w:rPr>
        <w:t>Diritta</w:t>
      </w:r>
      <w:proofErr w:type="spellEnd"/>
      <w:r w:rsidRPr="0020238F">
        <w:rPr>
          <w:color w:val="000000"/>
          <w:lang w:val="en-US"/>
        </w:rPr>
        <w:t xml:space="preserve">, </w:t>
      </w:r>
      <w:proofErr w:type="spellStart"/>
      <w:r w:rsidR="00036264" w:rsidRPr="0020238F">
        <w:rPr>
          <w:color w:val="000000"/>
          <w:lang w:val="en-US"/>
        </w:rPr>
        <w:t>Torta</w:t>
      </w:r>
      <w:proofErr w:type="spellEnd"/>
      <w:r w:rsidRPr="0020238F">
        <w:rPr>
          <w:color w:val="000000"/>
          <w:lang w:val="en-US"/>
        </w:rPr>
        <w:t xml:space="preserve">, </w:t>
      </w:r>
      <w:proofErr w:type="spellStart"/>
      <w:r w:rsidR="00036264" w:rsidRPr="0020238F">
        <w:rPr>
          <w:color w:val="000000"/>
          <w:lang w:val="en-US"/>
        </w:rPr>
        <w:t>Vinciperdi</w:t>
      </w:r>
      <w:proofErr w:type="spellEnd"/>
      <w:r w:rsidRPr="0020238F">
        <w:rPr>
          <w:color w:val="000000"/>
          <w:lang w:val="en-US"/>
        </w:rPr>
        <w:t xml:space="preserve">, </w:t>
      </w:r>
      <w:proofErr w:type="spellStart"/>
      <w:r w:rsidR="00036264" w:rsidRPr="0020238F">
        <w:rPr>
          <w:color w:val="000000"/>
          <w:lang w:val="en-US"/>
        </w:rPr>
        <w:t>Ritrosa</w:t>
      </w:r>
      <w:proofErr w:type="spellEnd"/>
      <w:r w:rsidRPr="0020238F">
        <w:rPr>
          <w:color w:val="000000"/>
          <w:lang w:val="en-US"/>
        </w:rPr>
        <w:t xml:space="preserve">, and now </w:t>
      </w:r>
      <w:proofErr w:type="spellStart"/>
      <w:r w:rsidR="00036264" w:rsidRPr="0020238F">
        <w:rPr>
          <w:color w:val="000000"/>
          <w:lang w:val="en-US"/>
        </w:rPr>
        <w:t>Pilucchino</w:t>
      </w:r>
      <w:proofErr w:type="spellEnd"/>
      <w:r w:rsidR="00036264" w:rsidRPr="0020238F">
        <w:rPr>
          <w:color w:val="000000"/>
          <w:lang w:val="en-US"/>
        </w:rPr>
        <w:t xml:space="preserve"> </w:t>
      </w:r>
      <w:r w:rsidRPr="0020238F">
        <w:rPr>
          <w:color w:val="000000"/>
          <w:lang w:val="en-US"/>
        </w:rPr>
        <w:t xml:space="preserve">too. If you think that these various names are not enough, I can add </w:t>
      </w:r>
      <w:proofErr w:type="spellStart"/>
      <w:r w:rsidR="00036264" w:rsidRPr="0020238F">
        <w:rPr>
          <w:color w:val="000000"/>
          <w:lang w:val="en-US"/>
        </w:rPr>
        <w:t>Pizzica</w:t>
      </w:r>
      <w:proofErr w:type="spellEnd"/>
      <w:r w:rsidRPr="0020238F">
        <w:rPr>
          <w:color w:val="000000"/>
          <w:lang w:val="en-US"/>
        </w:rPr>
        <w:t>, documented a few year later on</w:t>
      </w:r>
      <w:r w:rsidR="00D80DE4" w:rsidRPr="0020238F">
        <w:rPr>
          <w:color w:val="000000"/>
          <w:lang w:val="en-US"/>
        </w:rPr>
        <w:t>,</w:t>
      </w:r>
      <w:r w:rsidRPr="0020238F">
        <w:rPr>
          <w:color w:val="000000"/>
          <w:lang w:val="en-US"/>
        </w:rPr>
        <w:t xml:space="preserve"> with supposedly the same meaning as </w:t>
      </w:r>
      <w:proofErr w:type="spellStart"/>
      <w:r w:rsidR="00036264" w:rsidRPr="0020238F">
        <w:rPr>
          <w:color w:val="000000"/>
          <w:lang w:val="en-US"/>
        </w:rPr>
        <w:t>Pilucchino</w:t>
      </w:r>
      <w:proofErr w:type="spellEnd"/>
      <w:r w:rsidRPr="0020238F">
        <w:rPr>
          <w:color w:val="000000"/>
          <w:lang w:val="en-US"/>
        </w:rPr>
        <w:t>.</w:t>
      </w:r>
      <w:r w:rsidR="00D80DE4" w:rsidRPr="0020238F">
        <w:rPr>
          <w:color w:val="000000"/>
          <w:lang w:val="en-US"/>
        </w:rPr>
        <w:t xml:space="preserve"> </w:t>
      </w:r>
      <w:r w:rsidRPr="0020238F">
        <w:rPr>
          <w:color w:val="000000"/>
          <w:lang w:val="en-US"/>
        </w:rPr>
        <w:t xml:space="preserve">Now we are ready to search the oldest mention of </w:t>
      </w:r>
      <w:proofErr w:type="spellStart"/>
      <w:r w:rsidR="00036264" w:rsidRPr="0020238F">
        <w:rPr>
          <w:color w:val="000000"/>
          <w:lang w:val="en-US"/>
        </w:rPr>
        <w:t>Pilucchino</w:t>
      </w:r>
      <w:proofErr w:type="spellEnd"/>
      <w:r w:rsidRPr="0020238F">
        <w:rPr>
          <w:color w:val="000000"/>
          <w:lang w:val="en-US"/>
        </w:rPr>
        <w:t xml:space="preserve">. </w:t>
      </w:r>
    </w:p>
    <w:p w:rsidR="00C36667" w:rsidRPr="0020238F" w:rsidRDefault="00C36667" w:rsidP="00C36667">
      <w:pPr>
        <w:rPr>
          <w:color w:val="000000"/>
          <w:lang w:val="en-US"/>
        </w:rPr>
      </w:pPr>
    </w:p>
    <w:p w:rsidR="00C36667" w:rsidRPr="0020238F" w:rsidRDefault="00D80DE4" w:rsidP="00C36667">
      <w:pPr>
        <w:pStyle w:val="Heading2"/>
        <w:rPr>
          <w:lang w:val="en-US"/>
        </w:rPr>
      </w:pPr>
      <w:proofErr w:type="spellStart"/>
      <w:r w:rsidRPr="0020238F">
        <w:rPr>
          <w:lang w:val="en-US"/>
        </w:rPr>
        <w:t>Pilucchino</w:t>
      </w:r>
      <w:proofErr w:type="spellEnd"/>
      <w:r w:rsidRPr="0020238F">
        <w:rPr>
          <w:lang w:val="en-US"/>
        </w:rPr>
        <w:t xml:space="preserve"> − t</w:t>
      </w:r>
      <w:r w:rsidR="00C36667" w:rsidRPr="0020238F">
        <w:rPr>
          <w:lang w:val="en-US"/>
        </w:rPr>
        <w:t xml:space="preserve">he trial </w:t>
      </w:r>
    </w:p>
    <w:p w:rsidR="00C36667" w:rsidRPr="0020238F" w:rsidRDefault="00C36667" w:rsidP="00C36667">
      <w:pPr>
        <w:rPr>
          <w:color w:val="000000"/>
          <w:lang w:val="en-US"/>
        </w:rPr>
      </w:pPr>
    </w:p>
    <w:p w:rsidR="00C36667" w:rsidRPr="0020238F" w:rsidRDefault="00C36667" w:rsidP="00C36667">
      <w:pPr>
        <w:rPr>
          <w:color w:val="000000"/>
          <w:lang w:val="en-US"/>
        </w:rPr>
      </w:pPr>
      <w:r w:rsidRPr="0020238F">
        <w:rPr>
          <w:color w:val="000000"/>
          <w:lang w:val="en-US"/>
        </w:rPr>
        <w:t xml:space="preserve">In my recent search in the Archivio di Stato di Firenze, in the same book in which I found the interesting trial for </w:t>
      </w:r>
      <w:proofErr w:type="spellStart"/>
      <w:r w:rsidR="00036264" w:rsidRPr="0020238F">
        <w:rPr>
          <w:color w:val="000000"/>
          <w:lang w:val="en-US"/>
        </w:rPr>
        <w:t>Diritta</w:t>
      </w:r>
      <w:proofErr w:type="spellEnd"/>
      <w:r w:rsidR="00036264" w:rsidRPr="0020238F">
        <w:rPr>
          <w:color w:val="000000"/>
          <w:lang w:val="en-US"/>
        </w:rPr>
        <w:t xml:space="preserve"> </w:t>
      </w:r>
      <w:r w:rsidR="00D80DE4" w:rsidRPr="0020238F">
        <w:rPr>
          <w:color w:val="000000"/>
          <w:lang w:val="en-US"/>
        </w:rPr>
        <w:t>players</w:t>
      </w:r>
      <w:r w:rsidRPr="0020238F">
        <w:rPr>
          <w:color w:val="000000"/>
          <w:lang w:val="en-US"/>
        </w:rPr>
        <w:t xml:space="preserve">, discussed above, I found another trial, again </w:t>
      </w:r>
      <w:r w:rsidR="00931DAF" w:rsidRPr="0020238F">
        <w:rPr>
          <w:color w:val="000000"/>
          <w:lang w:val="en-US"/>
        </w:rPr>
        <w:t>before</w:t>
      </w:r>
      <w:r w:rsidRPr="0020238F">
        <w:rPr>
          <w:color w:val="000000"/>
          <w:lang w:val="en-US"/>
        </w:rPr>
        <w:t xml:space="preserve"> the </w:t>
      </w:r>
      <w:proofErr w:type="spellStart"/>
      <w:r w:rsidRPr="0020238F">
        <w:rPr>
          <w:color w:val="000000"/>
          <w:lang w:val="en-US"/>
        </w:rPr>
        <w:t>Conservatori</w:t>
      </w:r>
      <w:proofErr w:type="spellEnd"/>
      <w:r w:rsidRPr="0020238F">
        <w:rPr>
          <w:color w:val="000000"/>
          <w:lang w:val="en-US"/>
        </w:rPr>
        <w:t xml:space="preserve"> </w:t>
      </w:r>
      <w:proofErr w:type="spellStart"/>
      <w:r w:rsidRPr="0020238F">
        <w:rPr>
          <w:color w:val="000000"/>
          <w:lang w:val="en-US"/>
        </w:rPr>
        <w:t>delle</w:t>
      </w:r>
      <w:proofErr w:type="spellEnd"/>
      <w:r w:rsidRPr="0020238F">
        <w:rPr>
          <w:color w:val="000000"/>
          <w:lang w:val="en-US"/>
        </w:rPr>
        <w:t xml:space="preserve"> </w:t>
      </w:r>
      <w:proofErr w:type="spellStart"/>
      <w:r w:rsidRPr="0020238F">
        <w:rPr>
          <w:color w:val="000000"/>
          <w:lang w:val="en-US"/>
        </w:rPr>
        <w:t>leggi</w:t>
      </w:r>
      <w:proofErr w:type="spellEnd"/>
      <w:r w:rsidRPr="0020238F">
        <w:rPr>
          <w:color w:val="000000"/>
          <w:lang w:val="en-US"/>
        </w:rPr>
        <w:t>,</w:t>
      </w:r>
      <w:r w:rsidR="00F611F9" w:rsidRPr="0020238F">
        <w:rPr>
          <w:color w:val="000000"/>
          <w:lang w:val="en-US"/>
        </w:rPr>
        <w:t xml:space="preserve"> (</w:t>
      </w:r>
      <w:r w:rsidR="00050113">
        <w:rPr>
          <w:rStyle w:val="EndnoteReference"/>
          <w:color w:val="000000"/>
          <w:lang w:val="en-US"/>
        </w:rPr>
        <w:endnoteReference w:id="13"/>
      </w:r>
      <w:r w:rsidR="00F611F9" w:rsidRPr="0020238F">
        <w:rPr>
          <w:color w:val="000000"/>
          <w:lang w:val="en-US"/>
        </w:rPr>
        <w:t>)</w:t>
      </w:r>
      <w:r w:rsidRPr="0020238F">
        <w:rPr>
          <w:color w:val="000000"/>
          <w:lang w:val="en-US"/>
        </w:rPr>
        <w:t xml:space="preserve"> which provides us with the first known mention of </w:t>
      </w:r>
      <w:proofErr w:type="spellStart"/>
      <w:r w:rsidR="00036264" w:rsidRPr="0020238F">
        <w:rPr>
          <w:color w:val="000000"/>
          <w:lang w:val="en-US"/>
        </w:rPr>
        <w:t>Pilucchino</w:t>
      </w:r>
      <w:proofErr w:type="spellEnd"/>
      <w:r w:rsidRPr="0020238F">
        <w:rPr>
          <w:color w:val="000000"/>
          <w:lang w:val="en-US"/>
        </w:rPr>
        <w:t>.</w:t>
      </w:r>
    </w:p>
    <w:p w:rsidR="00C36667" w:rsidRPr="0020238F" w:rsidRDefault="00C36667" w:rsidP="00C36667">
      <w:pPr>
        <w:rPr>
          <w:color w:val="000000"/>
        </w:rPr>
      </w:pPr>
      <w:r w:rsidRPr="00140CE0">
        <w:rPr>
          <w:i/>
          <w:color w:val="000000"/>
        </w:rPr>
        <w:t>Nella via dei Servi</w:t>
      </w:r>
      <w:r w:rsidR="00B70212" w:rsidRPr="00140CE0">
        <w:rPr>
          <w:i/>
          <w:color w:val="000000"/>
        </w:rPr>
        <w:t xml:space="preserve"> colle carte a pilucchino giuocò</w:t>
      </w:r>
      <w:r w:rsidRPr="00140CE0">
        <w:rPr>
          <w:i/>
          <w:color w:val="000000"/>
        </w:rPr>
        <w:t xml:space="preserve"> addì 17 di maggio 1433 Giovanni di</w:t>
      </w:r>
      <w:r w:rsidR="00F611F9" w:rsidRPr="00140CE0">
        <w:rPr>
          <w:i/>
          <w:color w:val="000000"/>
        </w:rPr>
        <w:t xml:space="preserve"> </w:t>
      </w:r>
      <w:r w:rsidRPr="00140CE0">
        <w:rPr>
          <w:i/>
          <w:color w:val="000000"/>
        </w:rPr>
        <w:t>Pasquale cassiere in Mercato Nuovo</w:t>
      </w:r>
      <w:r w:rsidR="00B70212" w:rsidRPr="00140CE0">
        <w:rPr>
          <w:i/>
          <w:color w:val="000000"/>
        </w:rPr>
        <w:t>,</w:t>
      </w:r>
      <w:r w:rsidRPr="00140CE0">
        <w:rPr>
          <w:i/>
          <w:color w:val="000000"/>
        </w:rPr>
        <w:t xml:space="preserve"> Matteo di Luca della Ancisa sta a San Pier Maggiore</w:t>
      </w:r>
      <w:r w:rsidR="00B70212" w:rsidRPr="00140CE0">
        <w:rPr>
          <w:i/>
          <w:color w:val="000000"/>
        </w:rPr>
        <w:t xml:space="preserve">. </w:t>
      </w:r>
      <w:r w:rsidRPr="00140CE0">
        <w:rPr>
          <w:i/>
          <w:color w:val="000000"/>
        </w:rPr>
        <w:t>…</w:t>
      </w:r>
      <w:r w:rsidR="00B70212" w:rsidRPr="00140CE0">
        <w:rPr>
          <w:i/>
          <w:color w:val="000000"/>
        </w:rPr>
        <w:t xml:space="preserve"> </w:t>
      </w:r>
      <w:r w:rsidRPr="00140CE0">
        <w:rPr>
          <w:i/>
          <w:color w:val="000000"/>
        </w:rPr>
        <w:t>Nel corso dei Tintori alle carte a pilucchino gi</w:t>
      </w:r>
      <w:r w:rsidR="00B70212" w:rsidRPr="00140CE0">
        <w:rPr>
          <w:i/>
          <w:color w:val="000000"/>
        </w:rPr>
        <w:t>uocò</w:t>
      </w:r>
      <w:r w:rsidRPr="00140CE0">
        <w:rPr>
          <w:i/>
          <w:color w:val="000000"/>
        </w:rPr>
        <w:t xml:space="preserve"> detto dì Atterrito di Stefano Ciucci</w:t>
      </w:r>
      <w:r w:rsidR="00B70212" w:rsidRPr="00140CE0">
        <w:rPr>
          <w:i/>
          <w:color w:val="000000"/>
        </w:rPr>
        <w:t>,</w:t>
      </w:r>
      <w:r w:rsidRPr="00140CE0">
        <w:rPr>
          <w:i/>
          <w:color w:val="000000"/>
        </w:rPr>
        <w:t xml:space="preserve"> Piero di Donnino dipintore tra forgerinai</w:t>
      </w:r>
      <w:r w:rsidR="00B70212" w:rsidRPr="00140CE0">
        <w:rPr>
          <w:i/>
          <w:color w:val="000000"/>
        </w:rPr>
        <w:t>,</w:t>
      </w:r>
      <w:r w:rsidR="00931DAF" w:rsidRPr="00140CE0">
        <w:rPr>
          <w:i/>
          <w:color w:val="000000"/>
        </w:rPr>
        <w:t xml:space="preserve"> Giovanni barbiere agli Alberti.</w:t>
      </w:r>
    </w:p>
    <w:p w:rsidR="00C36667" w:rsidRPr="0020238F" w:rsidRDefault="00C36667" w:rsidP="00C36667">
      <w:pPr>
        <w:rPr>
          <w:color w:val="000000"/>
          <w:lang w:val="en-US"/>
        </w:rPr>
      </w:pPr>
      <w:r w:rsidRPr="0020238F">
        <w:rPr>
          <w:color w:val="000000"/>
          <w:lang w:val="en-US"/>
        </w:rPr>
        <w:t>In the same page, we find two events reported, among others</w:t>
      </w:r>
      <w:r w:rsidR="00931DAF" w:rsidRPr="0020238F">
        <w:rPr>
          <w:color w:val="000000"/>
          <w:lang w:val="en-US"/>
        </w:rPr>
        <w:t>, with the complete date, year, month, and day</w:t>
      </w:r>
      <w:r w:rsidRPr="0020238F">
        <w:rPr>
          <w:color w:val="000000"/>
          <w:lang w:val="en-US"/>
        </w:rPr>
        <w:t>. There are</w:t>
      </w:r>
      <w:r w:rsidR="00F611F9" w:rsidRPr="0020238F">
        <w:rPr>
          <w:color w:val="000000"/>
          <w:lang w:val="en-US"/>
        </w:rPr>
        <w:t xml:space="preserve"> </w:t>
      </w:r>
      <w:r w:rsidRPr="0020238F">
        <w:rPr>
          <w:color w:val="000000"/>
          <w:lang w:val="en-US"/>
        </w:rPr>
        <w:t>further cases of games</w:t>
      </w:r>
      <w:r w:rsidR="00931DAF" w:rsidRPr="0020238F">
        <w:rPr>
          <w:color w:val="000000"/>
          <w:lang w:val="en-US"/>
        </w:rPr>
        <w:t xml:space="preserve"> and gambling</w:t>
      </w:r>
      <w:r w:rsidRPr="0020238F">
        <w:rPr>
          <w:color w:val="000000"/>
          <w:lang w:val="en-US"/>
        </w:rPr>
        <w:t xml:space="preserve">, but the two mentioned ones have an important point in common: in both </w:t>
      </w:r>
      <w:r w:rsidR="00931DAF" w:rsidRPr="0020238F">
        <w:rPr>
          <w:color w:val="000000"/>
          <w:lang w:val="en-US"/>
        </w:rPr>
        <w:t>of them</w:t>
      </w:r>
      <w:r w:rsidRPr="0020238F">
        <w:rPr>
          <w:color w:val="000000"/>
          <w:lang w:val="en-US"/>
        </w:rPr>
        <w:t xml:space="preserve"> </w:t>
      </w:r>
      <w:proofErr w:type="spellStart"/>
      <w:r w:rsidR="00036264" w:rsidRPr="0020238F">
        <w:rPr>
          <w:color w:val="000000"/>
          <w:lang w:val="en-US"/>
        </w:rPr>
        <w:t>Pilucchino</w:t>
      </w:r>
      <w:proofErr w:type="spellEnd"/>
      <w:r w:rsidR="00036264" w:rsidRPr="0020238F">
        <w:rPr>
          <w:color w:val="000000"/>
          <w:lang w:val="en-US"/>
        </w:rPr>
        <w:t xml:space="preserve"> </w:t>
      </w:r>
      <w:r w:rsidRPr="0020238F">
        <w:rPr>
          <w:color w:val="000000"/>
          <w:lang w:val="en-US"/>
        </w:rPr>
        <w:t xml:space="preserve">was played. In the first case, there are two players mentioned, as just two were the players indicted for having played la </w:t>
      </w:r>
      <w:proofErr w:type="spellStart"/>
      <w:r w:rsidR="00036264" w:rsidRPr="0020238F">
        <w:rPr>
          <w:color w:val="000000"/>
          <w:lang w:val="en-US"/>
        </w:rPr>
        <w:t>Diritta</w:t>
      </w:r>
      <w:proofErr w:type="spellEnd"/>
      <w:r w:rsidRPr="0020238F">
        <w:rPr>
          <w:color w:val="000000"/>
          <w:lang w:val="en-US"/>
        </w:rPr>
        <w:t xml:space="preserve">. In the second case, there are three players mentioned, but it is not clear if they could play the game together or if the third one was waiting for his turn. </w:t>
      </w:r>
    </w:p>
    <w:p w:rsidR="00C36667" w:rsidRPr="0020238F" w:rsidRDefault="00C36667" w:rsidP="00C36667">
      <w:pPr>
        <w:rPr>
          <w:color w:val="000000"/>
          <w:lang w:val="en-US"/>
        </w:rPr>
      </w:pPr>
      <w:r w:rsidRPr="0020238F">
        <w:rPr>
          <w:color w:val="000000"/>
          <w:lang w:val="en-US"/>
        </w:rPr>
        <w:lastRenderedPageBreak/>
        <w:t xml:space="preserve">By the way, the first player mentioned in </w:t>
      </w:r>
      <w:proofErr w:type="spellStart"/>
      <w:r w:rsidRPr="0020238F">
        <w:rPr>
          <w:color w:val="000000"/>
          <w:lang w:val="en-US"/>
        </w:rPr>
        <w:t>Corso</w:t>
      </w:r>
      <w:proofErr w:type="spellEnd"/>
      <w:r w:rsidRPr="0020238F">
        <w:rPr>
          <w:color w:val="000000"/>
          <w:lang w:val="en-US"/>
        </w:rPr>
        <w:t xml:space="preserve"> </w:t>
      </w:r>
      <w:proofErr w:type="spellStart"/>
      <w:r w:rsidRPr="0020238F">
        <w:rPr>
          <w:color w:val="000000"/>
          <w:lang w:val="en-US"/>
        </w:rPr>
        <w:t>Tintori</w:t>
      </w:r>
      <w:proofErr w:type="spellEnd"/>
      <w:r w:rsidRPr="0020238F">
        <w:rPr>
          <w:color w:val="000000"/>
          <w:lang w:val="en-US"/>
        </w:rPr>
        <w:t xml:space="preserve"> (as Via </w:t>
      </w:r>
      <w:proofErr w:type="spellStart"/>
      <w:r w:rsidRPr="0020238F">
        <w:rPr>
          <w:color w:val="000000"/>
          <w:lang w:val="en-US"/>
        </w:rPr>
        <w:t>dei</w:t>
      </w:r>
      <w:proofErr w:type="spellEnd"/>
      <w:r w:rsidRPr="0020238F">
        <w:rPr>
          <w:color w:val="000000"/>
          <w:lang w:val="en-US"/>
        </w:rPr>
        <w:t xml:space="preserve"> </w:t>
      </w:r>
      <w:proofErr w:type="spellStart"/>
      <w:r w:rsidRPr="0020238F">
        <w:rPr>
          <w:color w:val="000000"/>
          <w:lang w:val="en-US"/>
        </w:rPr>
        <w:t>Servi</w:t>
      </w:r>
      <w:proofErr w:type="spellEnd"/>
      <w:r w:rsidRPr="0020238F">
        <w:rPr>
          <w:color w:val="000000"/>
          <w:lang w:val="en-US"/>
        </w:rPr>
        <w:t xml:space="preserve"> too, a Florentine street still existing under the same name) is nobody less than the person who</w:t>
      </w:r>
      <w:r w:rsidR="00B70212" w:rsidRPr="0020238F">
        <w:rPr>
          <w:color w:val="000000"/>
          <w:lang w:val="en-US"/>
        </w:rPr>
        <w:t>m</w:t>
      </w:r>
      <w:r w:rsidRPr="0020238F">
        <w:rPr>
          <w:color w:val="000000"/>
          <w:lang w:val="en-US"/>
        </w:rPr>
        <w:t xml:space="preserve"> we had found as a kibitzer in the case of </w:t>
      </w:r>
      <w:r w:rsidR="00036264" w:rsidRPr="0020238F">
        <w:rPr>
          <w:color w:val="000000"/>
          <w:lang w:val="en-US"/>
        </w:rPr>
        <w:t>the</w:t>
      </w:r>
      <w:r w:rsidRPr="0020238F">
        <w:rPr>
          <w:color w:val="000000"/>
          <w:lang w:val="en-US"/>
        </w:rPr>
        <w:t xml:space="preserve"> </w:t>
      </w:r>
      <w:proofErr w:type="spellStart"/>
      <w:r w:rsidR="00036264" w:rsidRPr="0020238F">
        <w:rPr>
          <w:color w:val="000000"/>
          <w:lang w:val="en-US"/>
        </w:rPr>
        <w:t>Diritta</w:t>
      </w:r>
      <w:proofErr w:type="spellEnd"/>
      <w:r w:rsidR="00036264" w:rsidRPr="0020238F">
        <w:rPr>
          <w:color w:val="000000"/>
          <w:lang w:val="en-US"/>
        </w:rPr>
        <w:t xml:space="preserve"> </w:t>
      </w:r>
      <w:r w:rsidRPr="0020238F">
        <w:rPr>
          <w:color w:val="000000"/>
          <w:lang w:val="en-US"/>
        </w:rPr>
        <w:t>game</w:t>
      </w:r>
      <w:r w:rsidR="00B70212" w:rsidRPr="0020238F">
        <w:rPr>
          <w:color w:val="000000"/>
          <w:lang w:val="en-US"/>
        </w:rPr>
        <w:t xml:space="preserve">, </w:t>
      </w:r>
      <w:r w:rsidR="00931DAF" w:rsidRPr="0020238F">
        <w:rPr>
          <w:color w:val="000000"/>
          <w:lang w:val="en-US"/>
        </w:rPr>
        <w:t>one or two</w:t>
      </w:r>
      <w:r w:rsidR="00B70212" w:rsidRPr="0020238F">
        <w:rPr>
          <w:color w:val="000000"/>
          <w:lang w:val="en-US"/>
        </w:rPr>
        <w:t xml:space="preserve"> months before</w:t>
      </w:r>
      <w:r w:rsidRPr="0020238F">
        <w:rPr>
          <w:color w:val="000000"/>
          <w:lang w:val="en-US"/>
        </w:rPr>
        <w:t>.</w:t>
      </w:r>
    </w:p>
    <w:p w:rsidR="00C36667" w:rsidRPr="0020238F" w:rsidRDefault="00C36667" w:rsidP="00CD7C4C">
      <w:pPr>
        <w:rPr>
          <w:color w:val="000000"/>
          <w:szCs w:val="24"/>
          <w:lang w:val="en-US"/>
        </w:rPr>
      </w:pPr>
    </w:p>
    <w:p w:rsidR="00684D0E" w:rsidRPr="0020238F" w:rsidRDefault="00684D0E" w:rsidP="00684D0E">
      <w:pPr>
        <w:pStyle w:val="Heading2"/>
        <w:rPr>
          <w:lang w:val="en-US"/>
        </w:rPr>
      </w:pPr>
      <w:r w:rsidRPr="0020238F">
        <w:rPr>
          <w:lang w:val="en-US"/>
        </w:rPr>
        <w:t>Conclusion</w:t>
      </w:r>
    </w:p>
    <w:p w:rsidR="00684D0E" w:rsidRPr="0020238F" w:rsidRDefault="00684D0E" w:rsidP="00CD7C4C">
      <w:pPr>
        <w:rPr>
          <w:color w:val="000000"/>
          <w:szCs w:val="24"/>
          <w:lang w:val="en-US"/>
        </w:rPr>
      </w:pPr>
    </w:p>
    <w:p w:rsidR="00C36667" w:rsidRPr="0020238F" w:rsidRDefault="00931DAF" w:rsidP="00684D0E">
      <w:pPr>
        <w:rPr>
          <w:color w:val="000000"/>
          <w:szCs w:val="24"/>
          <w:lang w:val="en-US"/>
        </w:rPr>
      </w:pPr>
      <w:r w:rsidRPr="0020238F">
        <w:rPr>
          <w:color w:val="000000"/>
          <w:szCs w:val="24"/>
          <w:lang w:val="en-US"/>
        </w:rPr>
        <w:t xml:space="preserve">Let me conclude this discussion. Of course, my </w:t>
      </w:r>
      <w:r w:rsidR="00684D0E" w:rsidRPr="0020238F">
        <w:rPr>
          <w:color w:val="000000"/>
          <w:szCs w:val="24"/>
          <w:lang w:val="en-US"/>
        </w:rPr>
        <w:t xml:space="preserve">personal </w:t>
      </w:r>
      <w:r w:rsidRPr="0020238F">
        <w:rPr>
          <w:color w:val="000000"/>
          <w:szCs w:val="24"/>
          <w:lang w:val="en-US"/>
        </w:rPr>
        <w:t xml:space="preserve">interpretation of both </w:t>
      </w:r>
      <w:proofErr w:type="spellStart"/>
      <w:r w:rsidR="00036264" w:rsidRPr="0020238F">
        <w:rPr>
          <w:color w:val="000000"/>
          <w:szCs w:val="24"/>
          <w:lang w:val="en-US"/>
        </w:rPr>
        <w:t>Diritta</w:t>
      </w:r>
      <w:proofErr w:type="spellEnd"/>
      <w:r w:rsidR="00036264" w:rsidRPr="0020238F">
        <w:rPr>
          <w:color w:val="000000"/>
          <w:szCs w:val="24"/>
          <w:lang w:val="en-US"/>
        </w:rPr>
        <w:t xml:space="preserve"> </w:t>
      </w:r>
      <w:r w:rsidRPr="0020238F">
        <w:rPr>
          <w:color w:val="000000"/>
          <w:szCs w:val="24"/>
          <w:lang w:val="en-US"/>
        </w:rPr>
        <w:t xml:space="preserve">and </w:t>
      </w:r>
      <w:proofErr w:type="spellStart"/>
      <w:r w:rsidR="00036264" w:rsidRPr="0020238F">
        <w:rPr>
          <w:color w:val="000000"/>
          <w:szCs w:val="24"/>
          <w:lang w:val="en-US"/>
        </w:rPr>
        <w:t>Pilucchino</w:t>
      </w:r>
      <w:proofErr w:type="spellEnd"/>
      <w:r w:rsidR="00036264" w:rsidRPr="0020238F">
        <w:rPr>
          <w:color w:val="000000"/>
          <w:szCs w:val="24"/>
          <w:lang w:val="en-US"/>
        </w:rPr>
        <w:t xml:space="preserve"> </w:t>
      </w:r>
      <w:r w:rsidRPr="0020238F">
        <w:rPr>
          <w:color w:val="000000"/>
          <w:szCs w:val="24"/>
          <w:lang w:val="en-US"/>
        </w:rPr>
        <w:t xml:space="preserve">as simple variations of the same </w:t>
      </w:r>
      <w:r w:rsidR="00036264" w:rsidRPr="0020238F">
        <w:rPr>
          <w:color w:val="000000"/>
          <w:szCs w:val="24"/>
          <w:lang w:val="en-US"/>
        </w:rPr>
        <w:t xml:space="preserve">Naibi </w:t>
      </w:r>
      <w:r w:rsidRPr="0020238F">
        <w:rPr>
          <w:color w:val="000000"/>
          <w:szCs w:val="24"/>
          <w:lang w:val="en-US"/>
        </w:rPr>
        <w:t>game may be wrong</w:t>
      </w:r>
      <w:r w:rsidR="00684D0E" w:rsidRPr="0020238F">
        <w:rPr>
          <w:color w:val="000000"/>
          <w:szCs w:val="24"/>
          <w:lang w:val="en-US"/>
        </w:rPr>
        <w:t>:</w:t>
      </w:r>
      <w:r w:rsidRPr="0020238F">
        <w:rPr>
          <w:color w:val="000000"/>
          <w:szCs w:val="24"/>
          <w:lang w:val="en-US"/>
        </w:rPr>
        <w:t xml:space="preserve"> further documents </w:t>
      </w:r>
      <w:r w:rsidR="00684D0E" w:rsidRPr="0020238F">
        <w:rPr>
          <w:color w:val="000000"/>
          <w:szCs w:val="24"/>
          <w:lang w:val="en-US"/>
        </w:rPr>
        <w:t xml:space="preserve">may </w:t>
      </w:r>
      <w:r w:rsidRPr="0020238F">
        <w:rPr>
          <w:color w:val="000000"/>
          <w:szCs w:val="24"/>
          <w:lang w:val="en-US"/>
        </w:rPr>
        <w:t xml:space="preserve">prove that one or both of them </w:t>
      </w:r>
      <w:r w:rsidR="00684D0E" w:rsidRPr="0020238F">
        <w:rPr>
          <w:color w:val="000000"/>
          <w:szCs w:val="24"/>
          <w:lang w:val="en-US"/>
        </w:rPr>
        <w:t>had</w:t>
      </w:r>
      <w:r w:rsidRPr="0020238F">
        <w:rPr>
          <w:color w:val="000000"/>
          <w:szCs w:val="24"/>
          <w:lang w:val="en-US"/>
        </w:rPr>
        <w:t xml:space="preserve"> completely different</w:t>
      </w:r>
      <w:r w:rsidR="00684D0E" w:rsidRPr="0020238F">
        <w:rPr>
          <w:color w:val="000000"/>
          <w:szCs w:val="24"/>
          <w:lang w:val="en-US"/>
        </w:rPr>
        <w:t xml:space="preserve"> rules</w:t>
      </w:r>
      <w:r w:rsidRPr="0020238F">
        <w:rPr>
          <w:color w:val="000000"/>
          <w:szCs w:val="24"/>
          <w:lang w:val="en-US"/>
        </w:rPr>
        <w:t>. In any case, t</w:t>
      </w:r>
      <w:r w:rsidR="00C36667" w:rsidRPr="0020238F">
        <w:rPr>
          <w:color w:val="000000"/>
          <w:szCs w:val="24"/>
          <w:lang w:val="en-US"/>
        </w:rPr>
        <w:t>he</w:t>
      </w:r>
      <w:r w:rsidR="00684D0E" w:rsidRPr="0020238F">
        <w:rPr>
          <w:color w:val="000000"/>
          <w:szCs w:val="24"/>
          <w:lang w:val="en-US"/>
        </w:rPr>
        <w:t xml:space="preserve"> two</w:t>
      </w:r>
      <w:r w:rsidR="00C36667" w:rsidRPr="0020238F">
        <w:rPr>
          <w:color w:val="000000"/>
          <w:szCs w:val="24"/>
          <w:lang w:val="en-US"/>
        </w:rPr>
        <w:t xml:space="preserve"> particular trials</w:t>
      </w:r>
      <w:r w:rsidR="00684D0E" w:rsidRPr="0020238F">
        <w:rPr>
          <w:color w:val="000000"/>
          <w:szCs w:val="24"/>
          <w:lang w:val="en-US"/>
        </w:rPr>
        <w:t xml:space="preserve"> that we have followed here, with</w:t>
      </w:r>
      <w:r w:rsidR="00C36667" w:rsidRPr="0020238F">
        <w:rPr>
          <w:color w:val="000000"/>
          <w:szCs w:val="24"/>
          <w:lang w:val="en-US"/>
        </w:rPr>
        <w:t xml:space="preserve"> their </w:t>
      </w:r>
      <w:r w:rsidR="00684D0E" w:rsidRPr="0020238F">
        <w:rPr>
          <w:color w:val="000000"/>
          <w:szCs w:val="24"/>
          <w:lang w:val="en-US"/>
        </w:rPr>
        <w:t>1433</w:t>
      </w:r>
      <w:r w:rsidR="00C36667" w:rsidRPr="0020238F">
        <w:rPr>
          <w:color w:val="000000"/>
          <w:szCs w:val="24"/>
          <w:lang w:val="en-US"/>
        </w:rPr>
        <w:t xml:space="preserve"> date</w:t>
      </w:r>
      <w:r w:rsidR="00684D0E" w:rsidRPr="0020238F">
        <w:rPr>
          <w:color w:val="000000"/>
          <w:szCs w:val="24"/>
          <w:lang w:val="en-US"/>
        </w:rPr>
        <w:t>,</w:t>
      </w:r>
      <w:r w:rsidR="00C36667" w:rsidRPr="0020238F">
        <w:rPr>
          <w:color w:val="000000"/>
          <w:szCs w:val="24"/>
          <w:lang w:val="en-US"/>
        </w:rPr>
        <w:t xml:space="preserve"> </w:t>
      </w:r>
      <w:r w:rsidR="00684D0E" w:rsidRPr="0020238F">
        <w:rPr>
          <w:color w:val="000000"/>
          <w:szCs w:val="24"/>
          <w:lang w:val="en-US"/>
        </w:rPr>
        <w:t xml:space="preserve">certainly have provided new and interesting documents </w:t>
      </w:r>
      <w:r w:rsidR="00C36667" w:rsidRPr="0020238F">
        <w:rPr>
          <w:color w:val="000000"/>
          <w:szCs w:val="24"/>
          <w:lang w:val="en-US"/>
        </w:rPr>
        <w:t xml:space="preserve">for the history of the </w:t>
      </w:r>
      <w:r w:rsidR="00B70212" w:rsidRPr="0020238F">
        <w:rPr>
          <w:color w:val="000000"/>
          <w:szCs w:val="24"/>
          <w:lang w:val="en-US"/>
        </w:rPr>
        <w:t>first</w:t>
      </w:r>
      <w:r w:rsidR="00C36667" w:rsidRPr="0020238F">
        <w:rPr>
          <w:color w:val="000000"/>
          <w:szCs w:val="24"/>
          <w:lang w:val="en-US"/>
        </w:rPr>
        <w:t xml:space="preserve"> Florentine card games.</w:t>
      </w:r>
    </w:p>
    <w:p w:rsidR="00C36667" w:rsidRPr="0020238F" w:rsidRDefault="00C36667" w:rsidP="00CD7C4C">
      <w:pPr>
        <w:rPr>
          <w:color w:val="000000"/>
          <w:szCs w:val="24"/>
          <w:lang w:val="en-US"/>
        </w:rPr>
      </w:pPr>
    </w:p>
    <w:p w:rsidR="00275785" w:rsidRPr="0020238F" w:rsidRDefault="00275785" w:rsidP="00275785">
      <w:pPr>
        <w:pStyle w:val="Heading2"/>
        <w:rPr>
          <w:szCs w:val="24"/>
          <w:lang w:val="en-US"/>
        </w:rPr>
      </w:pPr>
      <w:r w:rsidRPr="0020238F">
        <w:rPr>
          <w:szCs w:val="24"/>
          <w:lang w:val="en-US"/>
        </w:rPr>
        <w:t>Notes</w:t>
      </w:r>
    </w:p>
    <w:sectPr w:rsidR="00275785" w:rsidRPr="0020238F" w:rsidSect="000F7A1E">
      <w:headerReference w:type="default" r:id="rId8"/>
      <w:footerReference w:type="default" r:id="rId9"/>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25" w:rsidRDefault="00124E25" w:rsidP="00572FD8">
      <w:r>
        <w:separator/>
      </w:r>
    </w:p>
  </w:endnote>
  <w:endnote w:type="continuationSeparator" w:id="0">
    <w:p w:rsidR="00124E25" w:rsidRDefault="00124E25" w:rsidP="00572FD8">
      <w:r>
        <w:continuationSeparator/>
      </w:r>
    </w:p>
  </w:endnote>
  <w:endnote w:id="1">
    <w:p w:rsidR="00050113" w:rsidRPr="00050113" w:rsidRDefault="00050113" w:rsidP="00050113">
      <w:pPr>
        <w:pStyle w:val="EndnoteText"/>
        <w:ind w:left="284" w:hanging="284"/>
        <w:rPr>
          <w:sz w:val="24"/>
          <w:szCs w:val="24"/>
        </w:rPr>
      </w:pPr>
      <w:r w:rsidRPr="00050113">
        <w:rPr>
          <w:rStyle w:val="EndnoteReference"/>
          <w:sz w:val="24"/>
          <w:szCs w:val="24"/>
        </w:rPr>
        <w:endnoteRef/>
      </w:r>
      <w:r w:rsidRPr="00050113">
        <w:rPr>
          <w:sz w:val="24"/>
          <w:szCs w:val="24"/>
        </w:rPr>
        <w:t xml:space="preserve"> </w:t>
      </w:r>
      <w:proofErr w:type="spellStart"/>
      <w:r w:rsidRPr="005F385E">
        <w:rPr>
          <w:i/>
          <w:color w:val="000000"/>
          <w:sz w:val="24"/>
          <w:szCs w:val="24"/>
          <w:lang w:val="es-ES_tradnl"/>
        </w:rPr>
        <w:t>L'As</w:t>
      </w:r>
      <w:proofErr w:type="spellEnd"/>
      <w:r w:rsidRPr="005F385E">
        <w:rPr>
          <w:i/>
          <w:color w:val="000000"/>
          <w:sz w:val="24"/>
          <w:szCs w:val="24"/>
          <w:lang w:val="es-ES_tradnl"/>
        </w:rPr>
        <w:t xml:space="preserve"> de </w:t>
      </w:r>
      <w:proofErr w:type="spellStart"/>
      <w:r w:rsidRPr="005F385E">
        <w:rPr>
          <w:i/>
          <w:color w:val="000000"/>
          <w:sz w:val="24"/>
          <w:szCs w:val="24"/>
          <w:lang w:val="es-ES_tradnl"/>
        </w:rPr>
        <w:t>Trèfle</w:t>
      </w:r>
      <w:proofErr w:type="spellEnd"/>
      <w:r w:rsidRPr="00050113">
        <w:rPr>
          <w:color w:val="000000"/>
          <w:sz w:val="24"/>
          <w:szCs w:val="24"/>
          <w:lang w:val="es-ES_tradnl"/>
        </w:rPr>
        <w:t>, N. 51 (1993) 4-5.</w:t>
      </w:r>
    </w:p>
  </w:endnote>
  <w:endnote w:id="2">
    <w:p w:rsidR="00050113" w:rsidRPr="00050113" w:rsidRDefault="00050113" w:rsidP="00050113">
      <w:pPr>
        <w:pStyle w:val="EndnoteText"/>
        <w:ind w:left="284" w:hanging="284"/>
        <w:rPr>
          <w:sz w:val="24"/>
          <w:szCs w:val="24"/>
        </w:rPr>
      </w:pPr>
      <w:r w:rsidRPr="00050113">
        <w:rPr>
          <w:rStyle w:val="EndnoteReference"/>
          <w:sz w:val="24"/>
          <w:szCs w:val="24"/>
        </w:rPr>
        <w:endnoteRef/>
      </w:r>
      <w:r w:rsidRPr="00050113">
        <w:rPr>
          <w:sz w:val="24"/>
          <w:szCs w:val="24"/>
        </w:rPr>
        <w:t xml:space="preserve"> </w:t>
      </w:r>
      <w:r w:rsidRPr="00050113">
        <w:rPr>
          <w:color w:val="000000"/>
          <w:sz w:val="24"/>
          <w:szCs w:val="24"/>
          <w:lang w:val="es-ES_tradnl"/>
        </w:rPr>
        <w:t>TPC, Vol. XXIV No. 5 (1996) 134-141.</w:t>
      </w:r>
    </w:p>
  </w:endnote>
  <w:endnote w:id="3">
    <w:p w:rsidR="00050113" w:rsidRPr="00050113" w:rsidRDefault="00050113" w:rsidP="00050113">
      <w:pPr>
        <w:pStyle w:val="EndnoteText"/>
        <w:ind w:left="284" w:hanging="284"/>
        <w:rPr>
          <w:sz w:val="24"/>
          <w:szCs w:val="24"/>
        </w:rPr>
      </w:pPr>
      <w:r w:rsidRPr="00050113">
        <w:rPr>
          <w:rStyle w:val="EndnoteReference"/>
          <w:sz w:val="24"/>
          <w:szCs w:val="24"/>
        </w:rPr>
        <w:endnoteRef/>
      </w:r>
      <w:r w:rsidRPr="00050113">
        <w:rPr>
          <w:sz w:val="24"/>
          <w:szCs w:val="24"/>
        </w:rPr>
        <w:t xml:space="preserve"> </w:t>
      </w:r>
      <w:r w:rsidRPr="00050113">
        <w:rPr>
          <w:color w:val="000000"/>
          <w:sz w:val="24"/>
          <w:szCs w:val="24"/>
          <w:lang w:val="es-ES_tradnl"/>
        </w:rPr>
        <w:t>TPC, Vol. XVIII No. 4 (1990) 130.</w:t>
      </w:r>
    </w:p>
  </w:endnote>
  <w:endnote w:id="4">
    <w:p w:rsidR="00050113" w:rsidRPr="00050113" w:rsidRDefault="00050113" w:rsidP="00050113">
      <w:pPr>
        <w:pStyle w:val="EndnoteText"/>
        <w:ind w:left="284" w:hanging="284"/>
        <w:rPr>
          <w:sz w:val="24"/>
          <w:szCs w:val="24"/>
        </w:rPr>
      </w:pPr>
      <w:r w:rsidRPr="00050113">
        <w:rPr>
          <w:rStyle w:val="EndnoteReference"/>
          <w:sz w:val="24"/>
          <w:szCs w:val="24"/>
        </w:rPr>
        <w:endnoteRef/>
      </w:r>
      <w:r w:rsidRPr="00050113">
        <w:rPr>
          <w:sz w:val="24"/>
          <w:szCs w:val="24"/>
        </w:rPr>
        <w:t xml:space="preserve"> </w:t>
      </w:r>
      <w:r w:rsidRPr="00050113">
        <w:rPr>
          <w:color w:val="000000"/>
          <w:sz w:val="24"/>
          <w:szCs w:val="24"/>
          <w:lang w:val="es-ES_tradnl"/>
        </w:rPr>
        <w:t>TPC, Vol. XVIII No. 4 (1990) 133.</w:t>
      </w:r>
    </w:p>
  </w:endnote>
  <w:endnote w:id="5">
    <w:p w:rsidR="00050113" w:rsidRPr="00050113" w:rsidRDefault="00050113" w:rsidP="00050113">
      <w:pPr>
        <w:pStyle w:val="EndnoteText"/>
        <w:ind w:left="284" w:hanging="284"/>
        <w:rPr>
          <w:sz w:val="24"/>
          <w:szCs w:val="24"/>
        </w:rPr>
      </w:pPr>
      <w:r w:rsidRPr="00050113">
        <w:rPr>
          <w:rStyle w:val="EndnoteReference"/>
          <w:sz w:val="24"/>
          <w:szCs w:val="24"/>
        </w:rPr>
        <w:endnoteRef/>
      </w:r>
      <w:r w:rsidRPr="00050113">
        <w:rPr>
          <w:sz w:val="24"/>
          <w:szCs w:val="24"/>
        </w:rPr>
        <w:t xml:space="preserve"> </w:t>
      </w:r>
      <w:r w:rsidRPr="00050113">
        <w:rPr>
          <w:color w:val="000000"/>
          <w:sz w:val="24"/>
          <w:szCs w:val="24"/>
          <w:lang w:val="es-ES_tradnl"/>
        </w:rPr>
        <w:t>TPC, Vol. XVIII No. 4 (1990) 132.</w:t>
      </w:r>
    </w:p>
  </w:endnote>
  <w:endnote w:id="6">
    <w:p w:rsidR="00050113" w:rsidRPr="00050113" w:rsidRDefault="00050113" w:rsidP="00050113">
      <w:pPr>
        <w:pStyle w:val="EndnoteText"/>
        <w:ind w:left="284" w:hanging="284"/>
        <w:rPr>
          <w:sz w:val="24"/>
          <w:szCs w:val="24"/>
        </w:rPr>
      </w:pPr>
      <w:r w:rsidRPr="00050113">
        <w:rPr>
          <w:rStyle w:val="EndnoteReference"/>
          <w:sz w:val="24"/>
          <w:szCs w:val="24"/>
        </w:rPr>
        <w:endnoteRef/>
      </w:r>
      <w:r w:rsidRPr="00050113">
        <w:rPr>
          <w:sz w:val="24"/>
          <w:szCs w:val="24"/>
        </w:rPr>
        <w:t xml:space="preserve"> </w:t>
      </w:r>
      <w:r w:rsidRPr="00050113">
        <w:rPr>
          <w:color w:val="000000"/>
          <w:sz w:val="24"/>
          <w:szCs w:val="24"/>
          <w:lang w:val="es-ES_tradnl"/>
        </w:rPr>
        <w:t>TPC, Vol. XIX No. 1 (1990) 16.</w:t>
      </w:r>
    </w:p>
  </w:endnote>
  <w:endnote w:id="7">
    <w:p w:rsidR="00050113" w:rsidRPr="00050113" w:rsidRDefault="00050113" w:rsidP="00050113">
      <w:pPr>
        <w:pStyle w:val="EndnoteText"/>
        <w:ind w:left="284" w:hanging="284"/>
        <w:rPr>
          <w:sz w:val="24"/>
          <w:szCs w:val="24"/>
        </w:rPr>
      </w:pPr>
      <w:r w:rsidRPr="00050113">
        <w:rPr>
          <w:rStyle w:val="EndnoteReference"/>
          <w:sz w:val="24"/>
          <w:szCs w:val="24"/>
        </w:rPr>
        <w:endnoteRef/>
      </w:r>
      <w:r w:rsidRPr="00050113">
        <w:rPr>
          <w:sz w:val="24"/>
          <w:szCs w:val="24"/>
        </w:rPr>
        <w:t xml:space="preserve"> </w:t>
      </w:r>
      <w:r w:rsidRPr="00050113">
        <w:rPr>
          <w:color w:val="000000"/>
          <w:sz w:val="24"/>
          <w:szCs w:val="24"/>
          <w:lang w:val="es-ES_tradnl"/>
        </w:rPr>
        <w:t>TPC, Vol. XL No. 3 (2012) 167.</w:t>
      </w:r>
    </w:p>
  </w:endnote>
  <w:endnote w:id="8">
    <w:p w:rsidR="00050113" w:rsidRPr="00050113" w:rsidRDefault="00050113" w:rsidP="00050113">
      <w:pPr>
        <w:pStyle w:val="EndnoteText"/>
        <w:ind w:left="284" w:hanging="284"/>
        <w:rPr>
          <w:sz w:val="24"/>
          <w:szCs w:val="24"/>
        </w:rPr>
      </w:pPr>
      <w:r w:rsidRPr="00050113">
        <w:rPr>
          <w:rStyle w:val="EndnoteReference"/>
          <w:sz w:val="24"/>
          <w:szCs w:val="24"/>
        </w:rPr>
        <w:endnoteRef/>
      </w:r>
      <w:r w:rsidRPr="00050113">
        <w:rPr>
          <w:sz w:val="24"/>
          <w:szCs w:val="24"/>
        </w:rPr>
        <w:t xml:space="preserve"> </w:t>
      </w:r>
      <w:r w:rsidRPr="00050113">
        <w:rPr>
          <w:color w:val="000000"/>
          <w:sz w:val="24"/>
          <w:szCs w:val="24"/>
          <w:lang w:val="es-ES_tradnl"/>
        </w:rPr>
        <w:t>TPC, Vol. XVIII No. 4 (1990) 130.</w:t>
      </w:r>
    </w:p>
  </w:endnote>
  <w:endnote w:id="9">
    <w:p w:rsidR="00050113" w:rsidRPr="00050113" w:rsidRDefault="00050113" w:rsidP="00050113">
      <w:pPr>
        <w:pStyle w:val="EndnoteText"/>
        <w:ind w:left="284" w:hanging="284"/>
        <w:rPr>
          <w:sz w:val="24"/>
          <w:szCs w:val="24"/>
        </w:rPr>
      </w:pPr>
      <w:r w:rsidRPr="00050113">
        <w:rPr>
          <w:rStyle w:val="EndnoteReference"/>
          <w:sz w:val="24"/>
          <w:szCs w:val="24"/>
        </w:rPr>
        <w:endnoteRef/>
      </w:r>
      <w:r w:rsidRPr="00050113">
        <w:rPr>
          <w:sz w:val="24"/>
          <w:szCs w:val="24"/>
        </w:rPr>
        <w:t xml:space="preserve"> </w:t>
      </w:r>
      <w:r w:rsidRPr="00050113">
        <w:rPr>
          <w:color w:val="000000"/>
          <w:sz w:val="24"/>
          <w:szCs w:val="24"/>
          <w:lang w:val="es-ES_tradnl"/>
        </w:rPr>
        <w:t>TPC, Vol. XL No. 3 (2012) 166.</w:t>
      </w:r>
    </w:p>
  </w:endnote>
  <w:endnote w:id="10">
    <w:p w:rsidR="00050113" w:rsidRPr="00050113" w:rsidRDefault="00050113" w:rsidP="00050113">
      <w:pPr>
        <w:pStyle w:val="EndnoteText"/>
        <w:ind w:left="284" w:hanging="284"/>
        <w:rPr>
          <w:sz w:val="24"/>
          <w:szCs w:val="24"/>
        </w:rPr>
      </w:pPr>
      <w:r w:rsidRPr="00050113">
        <w:rPr>
          <w:rStyle w:val="EndnoteReference"/>
          <w:sz w:val="24"/>
          <w:szCs w:val="24"/>
        </w:rPr>
        <w:endnoteRef/>
      </w:r>
      <w:r w:rsidRPr="00050113">
        <w:rPr>
          <w:sz w:val="24"/>
          <w:szCs w:val="24"/>
        </w:rPr>
        <w:t xml:space="preserve"> </w:t>
      </w:r>
      <w:r w:rsidRPr="00050113">
        <w:rPr>
          <w:color w:val="000000"/>
          <w:sz w:val="24"/>
          <w:szCs w:val="24"/>
          <w:lang w:val="es-ES_tradnl"/>
        </w:rPr>
        <w:t>TPC, Vol</w:t>
      </w:r>
      <w:r>
        <w:rPr>
          <w:color w:val="000000"/>
          <w:sz w:val="24"/>
          <w:szCs w:val="24"/>
          <w:lang w:val="es-ES_tradnl"/>
        </w:rPr>
        <w:t>.</w:t>
      </w:r>
      <w:r w:rsidRPr="00050113">
        <w:rPr>
          <w:color w:val="000000"/>
          <w:sz w:val="24"/>
          <w:szCs w:val="24"/>
          <w:lang w:val="es-ES_tradnl"/>
        </w:rPr>
        <w:t xml:space="preserve"> XIX No. 1 (1990) 7-17.</w:t>
      </w:r>
    </w:p>
  </w:endnote>
  <w:endnote w:id="11">
    <w:p w:rsidR="00050113" w:rsidRPr="00050113" w:rsidRDefault="00050113" w:rsidP="00050113">
      <w:pPr>
        <w:pStyle w:val="EndnoteText"/>
        <w:ind w:left="284" w:hanging="284"/>
        <w:rPr>
          <w:sz w:val="24"/>
          <w:szCs w:val="24"/>
        </w:rPr>
      </w:pPr>
      <w:r w:rsidRPr="00050113">
        <w:rPr>
          <w:rStyle w:val="EndnoteReference"/>
          <w:sz w:val="24"/>
          <w:szCs w:val="24"/>
        </w:rPr>
        <w:endnoteRef/>
      </w:r>
      <w:r w:rsidRPr="00050113">
        <w:rPr>
          <w:sz w:val="24"/>
          <w:szCs w:val="24"/>
        </w:rPr>
        <w:t xml:space="preserve"> </w:t>
      </w:r>
      <w:r w:rsidRPr="00050113">
        <w:rPr>
          <w:color w:val="000000"/>
          <w:sz w:val="24"/>
          <w:szCs w:val="24"/>
        </w:rPr>
        <w:t xml:space="preserve">Andrea Zorzi, </w:t>
      </w:r>
      <w:r w:rsidRPr="00050113">
        <w:rPr>
          <w:i/>
          <w:color w:val="000000"/>
          <w:sz w:val="24"/>
          <w:szCs w:val="24"/>
        </w:rPr>
        <w:t>Battagliole e giochi d’azzardo a Firenze…</w:t>
      </w:r>
      <w:r w:rsidRPr="00050113">
        <w:rPr>
          <w:color w:val="000000"/>
          <w:sz w:val="24"/>
          <w:szCs w:val="24"/>
        </w:rPr>
        <w:t xml:space="preserve">, in G.Ortalli (Ed.). </w:t>
      </w:r>
      <w:r w:rsidRPr="00050113">
        <w:rPr>
          <w:i/>
          <w:color w:val="000000"/>
          <w:sz w:val="24"/>
          <w:szCs w:val="24"/>
        </w:rPr>
        <w:t>Gioco e giustizia nell’Italia di comune</w:t>
      </w:r>
      <w:r>
        <w:rPr>
          <w:color w:val="000000"/>
          <w:sz w:val="24"/>
          <w:szCs w:val="24"/>
        </w:rPr>
        <w:t>. Viella, Roma 1993,</w:t>
      </w:r>
      <w:r w:rsidRPr="00050113">
        <w:rPr>
          <w:color w:val="000000"/>
          <w:sz w:val="24"/>
          <w:szCs w:val="24"/>
        </w:rPr>
        <w:t xml:space="preserve"> pp. 71-108.</w:t>
      </w:r>
    </w:p>
  </w:endnote>
  <w:endnote w:id="12">
    <w:p w:rsidR="00050113" w:rsidRPr="00050113" w:rsidRDefault="00050113" w:rsidP="00050113">
      <w:pPr>
        <w:pStyle w:val="EndnoteText"/>
        <w:ind w:left="284" w:hanging="284"/>
        <w:rPr>
          <w:sz w:val="24"/>
          <w:szCs w:val="24"/>
        </w:rPr>
      </w:pPr>
      <w:r w:rsidRPr="00050113">
        <w:rPr>
          <w:rStyle w:val="EndnoteReference"/>
          <w:sz w:val="24"/>
          <w:szCs w:val="24"/>
        </w:rPr>
        <w:endnoteRef/>
      </w:r>
      <w:r w:rsidRPr="00050113">
        <w:rPr>
          <w:sz w:val="24"/>
          <w:szCs w:val="24"/>
        </w:rPr>
        <w:t xml:space="preserve"> </w:t>
      </w:r>
      <w:r w:rsidR="005F385E">
        <w:rPr>
          <w:color w:val="000000"/>
          <w:sz w:val="24"/>
          <w:szCs w:val="24"/>
        </w:rPr>
        <w:t>ASFI</w:t>
      </w:r>
      <w:r w:rsidRPr="00050113">
        <w:rPr>
          <w:color w:val="000000"/>
          <w:sz w:val="24"/>
          <w:szCs w:val="24"/>
        </w:rPr>
        <w:t xml:space="preserve">, </w:t>
      </w:r>
      <w:r w:rsidRPr="005F385E">
        <w:rPr>
          <w:i/>
          <w:color w:val="000000"/>
          <w:sz w:val="24"/>
          <w:szCs w:val="24"/>
        </w:rPr>
        <w:t>Giudice degli appelli e nullità</w:t>
      </w:r>
      <w:r w:rsidRPr="00050113">
        <w:rPr>
          <w:color w:val="000000"/>
          <w:sz w:val="24"/>
          <w:szCs w:val="24"/>
        </w:rPr>
        <w:t>, 77, c. 481.</w:t>
      </w:r>
    </w:p>
  </w:endnote>
  <w:endnote w:id="13">
    <w:p w:rsidR="00050113" w:rsidRPr="00050113" w:rsidRDefault="00050113" w:rsidP="00050113">
      <w:pPr>
        <w:pStyle w:val="EndnoteText"/>
        <w:ind w:left="284" w:hanging="284"/>
        <w:rPr>
          <w:sz w:val="24"/>
          <w:szCs w:val="24"/>
        </w:rPr>
      </w:pPr>
      <w:r w:rsidRPr="00050113">
        <w:rPr>
          <w:rStyle w:val="EndnoteReference"/>
          <w:sz w:val="24"/>
          <w:szCs w:val="24"/>
        </w:rPr>
        <w:endnoteRef/>
      </w:r>
      <w:r w:rsidRPr="00050113">
        <w:rPr>
          <w:sz w:val="24"/>
          <w:szCs w:val="24"/>
        </w:rPr>
        <w:t xml:space="preserve"> </w:t>
      </w:r>
      <w:r w:rsidR="005F385E">
        <w:rPr>
          <w:color w:val="000000"/>
          <w:sz w:val="24"/>
          <w:szCs w:val="24"/>
        </w:rPr>
        <w:t>ASFI</w:t>
      </w:r>
      <w:r w:rsidRPr="00050113">
        <w:rPr>
          <w:color w:val="000000"/>
          <w:sz w:val="24"/>
          <w:szCs w:val="24"/>
        </w:rPr>
        <w:t xml:space="preserve">, </w:t>
      </w:r>
      <w:r w:rsidRPr="005F385E">
        <w:rPr>
          <w:i/>
          <w:color w:val="000000"/>
          <w:sz w:val="24"/>
          <w:szCs w:val="24"/>
        </w:rPr>
        <w:t>Giudice degli appelli e nullità</w:t>
      </w:r>
      <w:r w:rsidRPr="00050113">
        <w:rPr>
          <w:color w:val="000000"/>
          <w:sz w:val="24"/>
          <w:szCs w:val="24"/>
        </w:rPr>
        <w:t>, 77, c. 489.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82" w:rsidRDefault="00DE0BE1">
    <w:pPr>
      <w:pStyle w:val="Footer"/>
    </w:pPr>
    <w:r>
      <w:fldChar w:fldCharType="begin"/>
    </w:r>
    <w:r>
      <w:instrText xml:space="preserve"> TIME \@ "yyyy-MM-dd" </w:instrText>
    </w:r>
    <w:r>
      <w:fldChar w:fldCharType="separate"/>
    </w:r>
    <w:r w:rsidR="005F385E">
      <w:rPr>
        <w:noProof/>
      </w:rPr>
      <w:t>2013-12-10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25" w:rsidRDefault="00124E25" w:rsidP="00572FD8">
      <w:r>
        <w:separator/>
      </w:r>
    </w:p>
  </w:footnote>
  <w:footnote w:type="continuationSeparator" w:id="0">
    <w:p w:rsidR="00124E25" w:rsidRDefault="00124E25" w:rsidP="00572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82" w:rsidRDefault="00DE0BE1">
    <w:pPr>
      <w:pStyle w:val="Header"/>
      <w:jc w:val="right"/>
    </w:pPr>
    <w:r>
      <w:fldChar w:fldCharType="begin"/>
    </w:r>
    <w:r>
      <w:instrText xml:space="preserve"> PAGE   \* MERGEFORMAT </w:instrText>
    </w:r>
    <w:r>
      <w:fldChar w:fldCharType="separate"/>
    </w:r>
    <w:r w:rsidR="005F385E">
      <w:rPr>
        <w:noProof/>
      </w:rPr>
      <w:t>1</w:t>
    </w:r>
    <w:r>
      <w:fldChar w:fldCharType="end"/>
    </w:r>
  </w:p>
  <w:p w:rsidR="004D1E82" w:rsidRDefault="004D1E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D8"/>
    <w:rsid w:val="00022F17"/>
    <w:rsid w:val="00036264"/>
    <w:rsid w:val="00050113"/>
    <w:rsid w:val="000614A2"/>
    <w:rsid w:val="000747B7"/>
    <w:rsid w:val="00097931"/>
    <w:rsid w:val="000A3DDD"/>
    <w:rsid w:val="000C2151"/>
    <w:rsid w:val="000C57E0"/>
    <w:rsid w:val="000E0630"/>
    <w:rsid w:val="000E6C82"/>
    <w:rsid w:val="000F7A1E"/>
    <w:rsid w:val="00106C83"/>
    <w:rsid w:val="00124E25"/>
    <w:rsid w:val="00127B98"/>
    <w:rsid w:val="00140CE0"/>
    <w:rsid w:val="001520BF"/>
    <w:rsid w:val="00187372"/>
    <w:rsid w:val="001B20CB"/>
    <w:rsid w:val="001D347A"/>
    <w:rsid w:val="001E11E9"/>
    <w:rsid w:val="001F1614"/>
    <w:rsid w:val="0020238F"/>
    <w:rsid w:val="0020494F"/>
    <w:rsid w:val="00240C22"/>
    <w:rsid w:val="002466F8"/>
    <w:rsid w:val="00275785"/>
    <w:rsid w:val="002D16BF"/>
    <w:rsid w:val="00341BF2"/>
    <w:rsid w:val="00341D26"/>
    <w:rsid w:val="00382608"/>
    <w:rsid w:val="00386E99"/>
    <w:rsid w:val="00386F2E"/>
    <w:rsid w:val="003C0F49"/>
    <w:rsid w:val="003F3CB5"/>
    <w:rsid w:val="004367EA"/>
    <w:rsid w:val="004516D4"/>
    <w:rsid w:val="00452E13"/>
    <w:rsid w:val="0047364D"/>
    <w:rsid w:val="00477594"/>
    <w:rsid w:val="00483236"/>
    <w:rsid w:val="00492F92"/>
    <w:rsid w:val="004A2663"/>
    <w:rsid w:val="004D0D46"/>
    <w:rsid w:val="004D1E82"/>
    <w:rsid w:val="004D3F32"/>
    <w:rsid w:val="004F0549"/>
    <w:rsid w:val="004F1DB1"/>
    <w:rsid w:val="004F54C8"/>
    <w:rsid w:val="004F721D"/>
    <w:rsid w:val="00525418"/>
    <w:rsid w:val="0055321F"/>
    <w:rsid w:val="00572FD8"/>
    <w:rsid w:val="005A36C9"/>
    <w:rsid w:val="005F385E"/>
    <w:rsid w:val="006033B1"/>
    <w:rsid w:val="006060F6"/>
    <w:rsid w:val="00620E0E"/>
    <w:rsid w:val="00625C22"/>
    <w:rsid w:val="0063746E"/>
    <w:rsid w:val="0067687F"/>
    <w:rsid w:val="00684D0E"/>
    <w:rsid w:val="006877E4"/>
    <w:rsid w:val="006C47C6"/>
    <w:rsid w:val="0075094E"/>
    <w:rsid w:val="00775756"/>
    <w:rsid w:val="007A4359"/>
    <w:rsid w:val="007D33AB"/>
    <w:rsid w:val="007D7B44"/>
    <w:rsid w:val="007E54DB"/>
    <w:rsid w:val="007F3620"/>
    <w:rsid w:val="008109E0"/>
    <w:rsid w:val="00812A04"/>
    <w:rsid w:val="00831BCE"/>
    <w:rsid w:val="00861369"/>
    <w:rsid w:val="00865D25"/>
    <w:rsid w:val="00895CAA"/>
    <w:rsid w:val="008A52DC"/>
    <w:rsid w:val="008B669B"/>
    <w:rsid w:val="008C143B"/>
    <w:rsid w:val="00930079"/>
    <w:rsid w:val="00931DAF"/>
    <w:rsid w:val="00932934"/>
    <w:rsid w:val="009503C5"/>
    <w:rsid w:val="009820AE"/>
    <w:rsid w:val="00985453"/>
    <w:rsid w:val="009B0225"/>
    <w:rsid w:val="009B5EC7"/>
    <w:rsid w:val="00AA7A09"/>
    <w:rsid w:val="00AB0681"/>
    <w:rsid w:val="00AC395C"/>
    <w:rsid w:val="00B015FF"/>
    <w:rsid w:val="00B238FE"/>
    <w:rsid w:val="00B279EC"/>
    <w:rsid w:val="00B40071"/>
    <w:rsid w:val="00B70212"/>
    <w:rsid w:val="00B70B2B"/>
    <w:rsid w:val="00B94729"/>
    <w:rsid w:val="00BA57CA"/>
    <w:rsid w:val="00BA6F1C"/>
    <w:rsid w:val="00BC0C60"/>
    <w:rsid w:val="00BC28B7"/>
    <w:rsid w:val="00BC7554"/>
    <w:rsid w:val="00BE5184"/>
    <w:rsid w:val="00C34A87"/>
    <w:rsid w:val="00C36667"/>
    <w:rsid w:val="00C413DF"/>
    <w:rsid w:val="00C568E2"/>
    <w:rsid w:val="00C809EC"/>
    <w:rsid w:val="00CA3741"/>
    <w:rsid w:val="00CC46A0"/>
    <w:rsid w:val="00CD7C4C"/>
    <w:rsid w:val="00D332B5"/>
    <w:rsid w:val="00D521EE"/>
    <w:rsid w:val="00D526B8"/>
    <w:rsid w:val="00D549C0"/>
    <w:rsid w:val="00D62E5F"/>
    <w:rsid w:val="00D80DE4"/>
    <w:rsid w:val="00DA5BDD"/>
    <w:rsid w:val="00DA60A5"/>
    <w:rsid w:val="00DC7FCC"/>
    <w:rsid w:val="00DD7815"/>
    <w:rsid w:val="00DE0BE1"/>
    <w:rsid w:val="00DE7E10"/>
    <w:rsid w:val="00DF3CE2"/>
    <w:rsid w:val="00E13C9D"/>
    <w:rsid w:val="00E32337"/>
    <w:rsid w:val="00E351E6"/>
    <w:rsid w:val="00E47607"/>
    <w:rsid w:val="00E62565"/>
    <w:rsid w:val="00EA4AC7"/>
    <w:rsid w:val="00EE3BA8"/>
    <w:rsid w:val="00F407C9"/>
    <w:rsid w:val="00F42ADF"/>
    <w:rsid w:val="00F611F9"/>
    <w:rsid w:val="00F64AC2"/>
    <w:rsid w:val="00F65FCD"/>
    <w:rsid w:val="00FA6689"/>
    <w:rsid w:val="00FB43B8"/>
    <w:rsid w:val="00FC27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4D"/>
    <w:pPr>
      <w:ind w:firstLine="284"/>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CD7C4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D7815"/>
    <w:pPr>
      <w:keepNext/>
      <w:keepLines/>
      <w:ind w:firstLine="0"/>
      <w:outlineLvl w:val="1"/>
    </w:pPr>
    <w:rPr>
      <w:rFonts w:eastAsia="Times New Roman"/>
      <w:b/>
      <w:bCs/>
      <w:color w:val="000000"/>
      <w:szCs w:val="26"/>
    </w:rPr>
  </w:style>
  <w:style w:type="paragraph" w:styleId="Heading3">
    <w:name w:val="heading 3"/>
    <w:basedOn w:val="Normal"/>
    <w:next w:val="Normal"/>
    <w:link w:val="Heading3Char"/>
    <w:uiPriority w:val="9"/>
    <w:unhideWhenUsed/>
    <w:qFormat/>
    <w:rsid w:val="00CD7C4C"/>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815"/>
    <w:rPr>
      <w:rFonts w:ascii="Times New Roman" w:eastAsia="Times New Roman" w:hAnsi="Times New Roman" w:cs="Times New Roman"/>
      <w:b/>
      <w:bCs/>
      <w:color w:val="000000"/>
      <w:sz w:val="24"/>
      <w:szCs w:val="26"/>
    </w:rPr>
  </w:style>
  <w:style w:type="paragraph" w:styleId="EndnoteText">
    <w:name w:val="endnote text"/>
    <w:basedOn w:val="Normal"/>
    <w:link w:val="EndnoteTextChar"/>
    <w:uiPriority w:val="99"/>
    <w:semiHidden/>
    <w:unhideWhenUsed/>
    <w:rsid w:val="00572FD8"/>
    <w:rPr>
      <w:sz w:val="20"/>
      <w:szCs w:val="20"/>
    </w:rPr>
  </w:style>
  <w:style w:type="character" w:customStyle="1" w:styleId="EndnoteTextChar">
    <w:name w:val="Endnote Text Char"/>
    <w:basedOn w:val="DefaultParagraphFont"/>
    <w:link w:val="EndnoteText"/>
    <w:uiPriority w:val="99"/>
    <w:semiHidden/>
    <w:rsid w:val="00572FD8"/>
    <w:rPr>
      <w:rFonts w:ascii="Times New Roman" w:hAnsi="Times New Roman"/>
      <w:sz w:val="20"/>
      <w:szCs w:val="20"/>
    </w:rPr>
  </w:style>
  <w:style w:type="character" w:styleId="EndnoteReference">
    <w:name w:val="endnote reference"/>
    <w:basedOn w:val="DefaultParagraphFont"/>
    <w:uiPriority w:val="99"/>
    <w:semiHidden/>
    <w:unhideWhenUsed/>
    <w:rsid w:val="00572FD8"/>
    <w:rPr>
      <w:vertAlign w:val="superscript"/>
    </w:rPr>
  </w:style>
  <w:style w:type="character" w:customStyle="1" w:styleId="Heading3Char">
    <w:name w:val="Heading 3 Char"/>
    <w:basedOn w:val="DefaultParagraphFont"/>
    <w:link w:val="Heading3"/>
    <w:uiPriority w:val="9"/>
    <w:rsid w:val="00CD7C4C"/>
    <w:rPr>
      <w:rFonts w:ascii="Cambria" w:eastAsia="Times New Roman" w:hAnsi="Cambria" w:cs="Times New Roman"/>
      <w:b/>
      <w:bCs/>
      <w:color w:val="4F81BD"/>
      <w:sz w:val="24"/>
    </w:rPr>
  </w:style>
  <w:style w:type="character" w:customStyle="1" w:styleId="Heading1Char">
    <w:name w:val="Heading 1 Char"/>
    <w:basedOn w:val="DefaultParagraphFont"/>
    <w:link w:val="Heading1"/>
    <w:uiPriority w:val="9"/>
    <w:rsid w:val="00CD7C4C"/>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4F0549"/>
    <w:pPr>
      <w:tabs>
        <w:tab w:val="center" w:pos="4819"/>
        <w:tab w:val="right" w:pos="9638"/>
      </w:tabs>
    </w:pPr>
  </w:style>
  <w:style w:type="character" w:customStyle="1" w:styleId="HeaderChar">
    <w:name w:val="Header Char"/>
    <w:basedOn w:val="DefaultParagraphFont"/>
    <w:link w:val="Header"/>
    <w:uiPriority w:val="99"/>
    <w:rsid w:val="004F0549"/>
    <w:rPr>
      <w:rFonts w:ascii="Times New Roman" w:hAnsi="Times New Roman"/>
      <w:sz w:val="24"/>
    </w:rPr>
  </w:style>
  <w:style w:type="paragraph" w:styleId="Footer">
    <w:name w:val="footer"/>
    <w:basedOn w:val="Normal"/>
    <w:link w:val="FooterChar"/>
    <w:uiPriority w:val="99"/>
    <w:semiHidden/>
    <w:unhideWhenUsed/>
    <w:rsid w:val="004F0549"/>
    <w:pPr>
      <w:tabs>
        <w:tab w:val="center" w:pos="4819"/>
        <w:tab w:val="right" w:pos="9638"/>
      </w:tabs>
    </w:pPr>
  </w:style>
  <w:style w:type="character" w:customStyle="1" w:styleId="FooterChar">
    <w:name w:val="Footer Char"/>
    <w:basedOn w:val="DefaultParagraphFont"/>
    <w:link w:val="Footer"/>
    <w:uiPriority w:val="99"/>
    <w:semiHidden/>
    <w:rsid w:val="004F0549"/>
    <w:rPr>
      <w:rFonts w:ascii="Times New Roman" w:hAnsi="Times New Roman"/>
      <w:sz w:val="24"/>
    </w:rPr>
  </w:style>
  <w:style w:type="character" w:styleId="Hyperlink">
    <w:name w:val="Hyperlink"/>
    <w:basedOn w:val="DefaultParagraphFont"/>
    <w:uiPriority w:val="99"/>
    <w:semiHidden/>
    <w:unhideWhenUsed/>
    <w:rsid w:val="00C36667"/>
    <w:rPr>
      <w:color w:val="0000FF"/>
      <w:u w:val="single"/>
    </w:rPr>
  </w:style>
  <w:style w:type="paragraph" w:styleId="BalloonText">
    <w:name w:val="Balloon Text"/>
    <w:basedOn w:val="Normal"/>
    <w:link w:val="BalloonTextChar"/>
    <w:uiPriority w:val="99"/>
    <w:semiHidden/>
    <w:unhideWhenUsed/>
    <w:rsid w:val="00BE5184"/>
    <w:rPr>
      <w:rFonts w:ascii="Tahoma" w:hAnsi="Tahoma" w:cs="Tahoma"/>
      <w:sz w:val="16"/>
      <w:szCs w:val="16"/>
    </w:rPr>
  </w:style>
  <w:style w:type="character" w:customStyle="1" w:styleId="BalloonTextChar">
    <w:name w:val="Balloon Text Char"/>
    <w:basedOn w:val="DefaultParagraphFont"/>
    <w:link w:val="BalloonText"/>
    <w:uiPriority w:val="99"/>
    <w:semiHidden/>
    <w:rsid w:val="00BE5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4D"/>
    <w:pPr>
      <w:ind w:firstLine="284"/>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CD7C4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D7815"/>
    <w:pPr>
      <w:keepNext/>
      <w:keepLines/>
      <w:ind w:firstLine="0"/>
      <w:outlineLvl w:val="1"/>
    </w:pPr>
    <w:rPr>
      <w:rFonts w:eastAsia="Times New Roman"/>
      <w:b/>
      <w:bCs/>
      <w:color w:val="000000"/>
      <w:szCs w:val="26"/>
    </w:rPr>
  </w:style>
  <w:style w:type="paragraph" w:styleId="Heading3">
    <w:name w:val="heading 3"/>
    <w:basedOn w:val="Normal"/>
    <w:next w:val="Normal"/>
    <w:link w:val="Heading3Char"/>
    <w:uiPriority w:val="9"/>
    <w:unhideWhenUsed/>
    <w:qFormat/>
    <w:rsid w:val="00CD7C4C"/>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815"/>
    <w:rPr>
      <w:rFonts w:ascii="Times New Roman" w:eastAsia="Times New Roman" w:hAnsi="Times New Roman" w:cs="Times New Roman"/>
      <w:b/>
      <w:bCs/>
      <w:color w:val="000000"/>
      <w:sz w:val="24"/>
      <w:szCs w:val="26"/>
    </w:rPr>
  </w:style>
  <w:style w:type="paragraph" w:styleId="EndnoteText">
    <w:name w:val="endnote text"/>
    <w:basedOn w:val="Normal"/>
    <w:link w:val="EndnoteTextChar"/>
    <w:uiPriority w:val="99"/>
    <w:semiHidden/>
    <w:unhideWhenUsed/>
    <w:rsid w:val="00572FD8"/>
    <w:rPr>
      <w:sz w:val="20"/>
      <w:szCs w:val="20"/>
    </w:rPr>
  </w:style>
  <w:style w:type="character" w:customStyle="1" w:styleId="EndnoteTextChar">
    <w:name w:val="Endnote Text Char"/>
    <w:basedOn w:val="DefaultParagraphFont"/>
    <w:link w:val="EndnoteText"/>
    <w:uiPriority w:val="99"/>
    <w:semiHidden/>
    <w:rsid w:val="00572FD8"/>
    <w:rPr>
      <w:rFonts w:ascii="Times New Roman" w:hAnsi="Times New Roman"/>
      <w:sz w:val="20"/>
      <w:szCs w:val="20"/>
    </w:rPr>
  </w:style>
  <w:style w:type="character" w:styleId="EndnoteReference">
    <w:name w:val="endnote reference"/>
    <w:basedOn w:val="DefaultParagraphFont"/>
    <w:uiPriority w:val="99"/>
    <w:semiHidden/>
    <w:unhideWhenUsed/>
    <w:rsid w:val="00572FD8"/>
    <w:rPr>
      <w:vertAlign w:val="superscript"/>
    </w:rPr>
  </w:style>
  <w:style w:type="character" w:customStyle="1" w:styleId="Heading3Char">
    <w:name w:val="Heading 3 Char"/>
    <w:basedOn w:val="DefaultParagraphFont"/>
    <w:link w:val="Heading3"/>
    <w:uiPriority w:val="9"/>
    <w:rsid w:val="00CD7C4C"/>
    <w:rPr>
      <w:rFonts w:ascii="Cambria" w:eastAsia="Times New Roman" w:hAnsi="Cambria" w:cs="Times New Roman"/>
      <w:b/>
      <w:bCs/>
      <w:color w:val="4F81BD"/>
      <w:sz w:val="24"/>
    </w:rPr>
  </w:style>
  <w:style w:type="character" w:customStyle="1" w:styleId="Heading1Char">
    <w:name w:val="Heading 1 Char"/>
    <w:basedOn w:val="DefaultParagraphFont"/>
    <w:link w:val="Heading1"/>
    <w:uiPriority w:val="9"/>
    <w:rsid w:val="00CD7C4C"/>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4F0549"/>
    <w:pPr>
      <w:tabs>
        <w:tab w:val="center" w:pos="4819"/>
        <w:tab w:val="right" w:pos="9638"/>
      </w:tabs>
    </w:pPr>
  </w:style>
  <w:style w:type="character" w:customStyle="1" w:styleId="HeaderChar">
    <w:name w:val="Header Char"/>
    <w:basedOn w:val="DefaultParagraphFont"/>
    <w:link w:val="Header"/>
    <w:uiPriority w:val="99"/>
    <w:rsid w:val="004F0549"/>
    <w:rPr>
      <w:rFonts w:ascii="Times New Roman" w:hAnsi="Times New Roman"/>
      <w:sz w:val="24"/>
    </w:rPr>
  </w:style>
  <w:style w:type="paragraph" w:styleId="Footer">
    <w:name w:val="footer"/>
    <w:basedOn w:val="Normal"/>
    <w:link w:val="FooterChar"/>
    <w:uiPriority w:val="99"/>
    <w:semiHidden/>
    <w:unhideWhenUsed/>
    <w:rsid w:val="004F0549"/>
    <w:pPr>
      <w:tabs>
        <w:tab w:val="center" w:pos="4819"/>
        <w:tab w:val="right" w:pos="9638"/>
      </w:tabs>
    </w:pPr>
  </w:style>
  <w:style w:type="character" w:customStyle="1" w:styleId="FooterChar">
    <w:name w:val="Footer Char"/>
    <w:basedOn w:val="DefaultParagraphFont"/>
    <w:link w:val="Footer"/>
    <w:uiPriority w:val="99"/>
    <w:semiHidden/>
    <w:rsid w:val="004F0549"/>
    <w:rPr>
      <w:rFonts w:ascii="Times New Roman" w:hAnsi="Times New Roman"/>
      <w:sz w:val="24"/>
    </w:rPr>
  </w:style>
  <w:style w:type="character" w:styleId="Hyperlink">
    <w:name w:val="Hyperlink"/>
    <w:basedOn w:val="DefaultParagraphFont"/>
    <w:uiPriority w:val="99"/>
    <w:semiHidden/>
    <w:unhideWhenUsed/>
    <w:rsid w:val="00C36667"/>
    <w:rPr>
      <w:color w:val="0000FF"/>
      <w:u w:val="single"/>
    </w:rPr>
  </w:style>
  <w:style w:type="paragraph" w:styleId="BalloonText">
    <w:name w:val="Balloon Text"/>
    <w:basedOn w:val="Normal"/>
    <w:link w:val="BalloonTextChar"/>
    <w:uiPriority w:val="99"/>
    <w:semiHidden/>
    <w:unhideWhenUsed/>
    <w:rsid w:val="00BE5184"/>
    <w:rPr>
      <w:rFonts w:ascii="Tahoma" w:hAnsi="Tahoma" w:cs="Tahoma"/>
      <w:sz w:val="16"/>
      <w:szCs w:val="16"/>
    </w:rPr>
  </w:style>
  <w:style w:type="character" w:customStyle="1" w:styleId="BalloonTextChar">
    <w:name w:val="Balloon Text Char"/>
    <w:basedOn w:val="DefaultParagraphFont"/>
    <w:link w:val="BalloonText"/>
    <w:uiPriority w:val="99"/>
    <w:semiHidden/>
    <w:rsid w:val="00BE5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A7F9C-90BE-4C6C-95C1-DE8C8D28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1887</Words>
  <Characters>10756</Characters>
  <Application>Microsoft Office Word</Application>
  <DocSecurity>0</DocSecurity>
  <Lines>89</Lines>
  <Paragraphs>25</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2</cp:revision>
  <cp:lastPrinted>2011-12-07T18:08:00Z</cp:lastPrinted>
  <dcterms:created xsi:type="dcterms:W3CDTF">2013-12-10T14:04:00Z</dcterms:created>
  <dcterms:modified xsi:type="dcterms:W3CDTF">2013-12-10T14:04:00Z</dcterms:modified>
</cp:coreProperties>
</file>