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3" w:rsidRPr="004B0251" w:rsidRDefault="00791DF4" w:rsidP="0039434C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1752-1780</w:t>
      </w:r>
      <w:r w:rsidR="00DA2397">
        <w:rPr>
          <w:rFonts w:cs="Times New Roman"/>
          <w:szCs w:val="24"/>
        </w:rPr>
        <w:t xml:space="preserve"> – TAX STAMPS</w:t>
      </w:r>
      <w:r w:rsidR="0071798F" w:rsidRPr="004B0251">
        <w:rPr>
          <w:rFonts w:cs="Times New Roman"/>
          <w:szCs w:val="24"/>
        </w:rPr>
        <w:t xml:space="preserve"> ON </w:t>
      </w:r>
      <w:r w:rsidR="00981CEA" w:rsidRPr="004B0251">
        <w:rPr>
          <w:rFonts w:cs="Times New Roman"/>
          <w:szCs w:val="24"/>
        </w:rPr>
        <w:t xml:space="preserve">TAROCCHI </w:t>
      </w:r>
      <w:r w:rsidR="0039434C" w:rsidRPr="004B0251">
        <w:rPr>
          <w:rFonts w:cs="Times New Roman"/>
          <w:szCs w:val="24"/>
        </w:rPr>
        <w:t xml:space="preserve">IN </w:t>
      </w:r>
      <w:r w:rsidR="00981CEA" w:rsidRPr="004B0251">
        <w:rPr>
          <w:rFonts w:cs="Times New Roman"/>
          <w:szCs w:val="24"/>
        </w:rPr>
        <w:t>FLORENCE</w:t>
      </w:r>
      <w:r w:rsidR="00DA2397">
        <w:rPr>
          <w:rFonts w:cs="Times New Roman"/>
          <w:szCs w:val="24"/>
        </w:rPr>
        <w:t xml:space="preserve"> ?</w:t>
      </w:r>
    </w:p>
    <w:p w:rsidR="00B03E13" w:rsidRPr="00FD5FE2" w:rsidRDefault="00B36290">
      <w:pPr>
        <w:rPr>
          <w:rFonts w:cs="Times New Roman"/>
          <w:szCs w:val="24"/>
        </w:rPr>
      </w:pPr>
      <w:r>
        <w:rPr>
          <w:rFonts w:cs="Times New Roman"/>
          <w:szCs w:val="24"/>
        </w:rPr>
        <w:t>Franco Pratesi, 23.06</w:t>
      </w:r>
      <w:r w:rsidR="0039434C" w:rsidRPr="00FD5FE2">
        <w:rPr>
          <w:rFonts w:cs="Times New Roman"/>
          <w:szCs w:val="24"/>
        </w:rPr>
        <w:t>.2013</w:t>
      </w:r>
      <w:r w:rsidR="009D0BB1" w:rsidRPr="00FD5FE2">
        <w:rPr>
          <w:rFonts w:cs="Times New Roman"/>
          <w:szCs w:val="24"/>
        </w:rPr>
        <w:t xml:space="preserve"> </w:t>
      </w:r>
    </w:p>
    <w:p w:rsidR="00632919" w:rsidRPr="00FD5FE2" w:rsidRDefault="00632919" w:rsidP="0039434C">
      <w:pPr>
        <w:pStyle w:val="Heading2"/>
        <w:rPr>
          <w:rFonts w:cs="Times New Roman"/>
          <w:szCs w:val="24"/>
        </w:rPr>
      </w:pPr>
    </w:p>
    <w:p w:rsidR="00DA2397" w:rsidRPr="00B16AF4" w:rsidRDefault="00B16AF4" w:rsidP="00B16AF4">
      <w:pPr>
        <w:pStyle w:val="Heading2"/>
      </w:pPr>
      <w:r w:rsidRPr="00B16AF4">
        <w:t>Introduction</w:t>
      </w:r>
    </w:p>
    <w:p w:rsidR="00DA2397" w:rsidRDefault="00DA2397" w:rsidP="004764C5"/>
    <w:p w:rsidR="0071798F" w:rsidRDefault="0071798F" w:rsidP="004764C5">
      <w:r w:rsidRPr="0071798F">
        <w:t>For a long time I had one or another opport</w:t>
      </w:r>
      <w:r>
        <w:t>unity to write something about</w:t>
      </w:r>
      <w:r w:rsidRPr="0071798F">
        <w:t xml:space="preserve"> the history</w:t>
      </w:r>
      <w:r>
        <w:t xml:space="preserve"> of playing cards in Florence. A recurrent topic has been the in</w:t>
      </w:r>
      <w:r w:rsidR="00B12A6A">
        <w:t xml:space="preserve">itial spread </w:t>
      </w:r>
      <w:r>
        <w:t>of Naibi, the games that were played with them, how these were considered by the law in the course of time</w:t>
      </w:r>
      <w:r w:rsidR="00980B25">
        <w:t>, both</w:t>
      </w:r>
      <w:r>
        <w:t xml:space="preserve"> in Florence and in many smaller cities of the territory.</w:t>
      </w:r>
    </w:p>
    <w:p w:rsidR="00980B25" w:rsidRDefault="00B12A6A" w:rsidP="004764C5">
      <w:r>
        <w:t>Let us neglect here these early stages and focus our attention on subsequent developments. Particular</w:t>
      </w:r>
      <w:r w:rsidR="0071798F">
        <w:t xml:space="preserve"> problems are met when alongside of Na</w:t>
      </w:r>
      <w:r w:rsidR="00DA2397">
        <w:t>ibi we encounter Trionfi, as wel</w:t>
      </w:r>
      <w:r w:rsidR="0071798F">
        <w:t>l as when alongside of Tri</w:t>
      </w:r>
      <w:r w:rsidR="00FE669F">
        <w:t>onfi we encounter Germini and</w:t>
      </w:r>
      <w:r w:rsidR="0071798F">
        <w:t xml:space="preserve"> Minchiate.</w:t>
      </w:r>
      <w:r w:rsidR="00DA2397">
        <w:t xml:space="preserve"> In the following centuries, only Carte and Minchiate are usually mentioned</w:t>
      </w:r>
      <w:r w:rsidR="00980B25">
        <w:t xml:space="preserve"> in Tuscany</w:t>
      </w:r>
      <w:r w:rsidR="00DA2397">
        <w:t>.</w:t>
      </w:r>
      <w:r>
        <w:t xml:space="preserve"> </w:t>
      </w:r>
    </w:p>
    <w:p w:rsidR="000F2B56" w:rsidRDefault="000F2B56" w:rsidP="004764C5">
      <w:r>
        <w:t xml:space="preserve">Now, I have nothing to add to what I have already written about all these names of packs and games. </w:t>
      </w:r>
      <w:r w:rsidR="00DA2397">
        <w:t>I will only</w:t>
      </w:r>
      <w:r>
        <w:t xml:space="preserve"> refer </w:t>
      </w:r>
      <w:r w:rsidR="00B12A6A">
        <w:t xml:space="preserve">here </w:t>
      </w:r>
      <w:r>
        <w:t xml:space="preserve">to some notes, in which I have outlined the main </w:t>
      </w:r>
      <w:r w:rsidR="00B12A6A">
        <w:t>questions</w:t>
      </w:r>
      <w:r>
        <w:t xml:space="preserve"> open to discussion.</w:t>
      </w:r>
    </w:p>
    <w:p w:rsidR="000F2B56" w:rsidRDefault="000F2B56" w:rsidP="004764C5">
      <w:r>
        <w:t>The reason why I am coming back to this complex situation is that I am wishing to deal with Tarocchi in Florence</w:t>
      </w:r>
      <w:r w:rsidR="00DA2397">
        <w:t>, mentioned exactly with that name</w:t>
      </w:r>
      <w:r>
        <w:t>.</w:t>
      </w:r>
      <w:r w:rsidR="00DA2397">
        <w:t xml:space="preserve"> </w:t>
      </w:r>
      <w:r>
        <w:t xml:space="preserve">The name </w:t>
      </w:r>
      <w:r w:rsidR="00DA2397">
        <w:t xml:space="preserve">of Tarocchi </w:t>
      </w:r>
      <w:r>
        <w:t xml:space="preserve">can be variously used. Its main use </w:t>
      </w:r>
      <w:r w:rsidR="00DA2397">
        <w:t xml:space="preserve">that </w:t>
      </w:r>
      <w:r>
        <w:t xml:space="preserve">I have found </w:t>
      </w:r>
      <w:r w:rsidR="00DA2397">
        <w:t>in Florence wa</w:t>
      </w:r>
      <w:r>
        <w:t xml:space="preserve">s </w:t>
      </w:r>
      <w:r w:rsidR="00DA2397">
        <w:t xml:space="preserve">for </w:t>
      </w:r>
      <w:r>
        <w:t xml:space="preserve">indicating the triumphal cards of a Minchiate (or </w:t>
      </w:r>
      <w:r w:rsidR="00B12A6A">
        <w:t>Germini</w:t>
      </w:r>
      <w:r>
        <w:t xml:space="preserve">) pack. This occurred for instance in the </w:t>
      </w:r>
      <w:proofErr w:type="spellStart"/>
      <w:r>
        <w:t>Notturno</w:t>
      </w:r>
      <w:r w:rsidR="00FE669F">
        <w:t>’s</w:t>
      </w:r>
      <w:proofErr w:type="spellEnd"/>
      <w:r>
        <w:t xml:space="preserve"> performance. (</w:t>
      </w:r>
      <w:r w:rsidR="00B36290">
        <w:t>1</w:t>
      </w:r>
      <w:r>
        <w:t xml:space="preserve">) Let us </w:t>
      </w:r>
      <w:r w:rsidR="00980B25">
        <w:t xml:space="preserve">again </w:t>
      </w:r>
      <w:r>
        <w:t>neglect this example</w:t>
      </w:r>
      <w:r w:rsidR="00980B25">
        <w:t>,</w:t>
      </w:r>
      <w:r>
        <w:t xml:space="preserve"> a</w:t>
      </w:r>
      <w:r w:rsidR="00FE669F">
        <w:t>s well as</w:t>
      </w:r>
      <w:r w:rsidR="00803229">
        <w:t xml:space="preserve"> others </w:t>
      </w:r>
      <w:r w:rsidR="00DA2397">
        <w:t>with</w:t>
      </w:r>
      <w:r w:rsidR="00803229">
        <w:t xml:space="preserve"> a similar me</w:t>
      </w:r>
      <w:r>
        <w:t>aning.</w:t>
      </w:r>
      <w:r w:rsidR="00DA2397">
        <w:t xml:space="preserve"> </w:t>
      </w:r>
      <w:r>
        <w:t xml:space="preserve">I </w:t>
      </w:r>
      <w:r w:rsidR="00980B25">
        <w:t xml:space="preserve">will </w:t>
      </w:r>
      <w:r>
        <w:t xml:space="preserve">intend here as Tarocchi the “usual” pack of 78 cards and the </w:t>
      </w:r>
      <w:r w:rsidR="00980B25">
        <w:t>related</w:t>
      </w:r>
      <w:r w:rsidR="00FE669F">
        <w:t xml:space="preserve"> game</w:t>
      </w:r>
      <w:r>
        <w:t>.</w:t>
      </w:r>
    </w:p>
    <w:p w:rsidR="00980B25" w:rsidRDefault="00FE669F" w:rsidP="004764C5">
      <w:r>
        <w:t xml:space="preserve">In other words, </w:t>
      </w:r>
      <w:r w:rsidR="006B13EA">
        <w:t>I will not consider here all the quotations of the pack and game of Trionfi, but only when we find the explicit mention of Tarocchi. Let me just indicate an article, (</w:t>
      </w:r>
      <w:r w:rsidR="00B36290">
        <w:t>2</w:t>
      </w:r>
      <w:r w:rsidR="006B13EA">
        <w:t xml:space="preserve">) in which I have reported on unfruitful research of any possible source of Trionfi, intended as Tarocchi. </w:t>
      </w:r>
      <w:r>
        <w:t>T</w:t>
      </w:r>
      <w:r w:rsidR="006B13EA">
        <w:t xml:space="preserve">he same subject I have </w:t>
      </w:r>
      <w:r>
        <w:t>studied</w:t>
      </w:r>
      <w:r w:rsidR="006B13EA">
        <w:t xml:space="preserve"> again, after fifteen years, and again unsuccessful</w:t>
      </w:r>
      <w:r>
        <w:t>ly</w:t>
      </w:r>
      <w:r w:rsidR="006B13EA">
        <w:t>. (</w:t>
      </w:r>
      <w:r w:rsidR="00B36290">
        <w:t>3</w:t>
      </w:r>
      <w:r w:rsidR="006B13EA">
        <w:t xml:space="preserve">) </w:t>
      </w:r>
    </w:p>
    <w:p w:rsidR="00B81268" w:rsidRDefault="00FE669F" w:rsidP="004764C5">
      <w:r>
        <w:t xml:space="preserve">Therefore, </w:t>
      </w:r>
      <w:r w:rsidR="00256763">
        <w:t xml:space="preserve">I leave </w:t>
      </w:r>
      <w:r>
        <w:t xml:space="preserve">here </w:t>
      </w:r>
      <w:r w:rsidR="006B13EA">
        <w:t>the</w:t>
      </w:r>
      <w:r w:rsidR="00256763">
        <w:t xml:space="preserve"> question open, which was the relation between Trionfi and Tarocchi, maybe different, maybe identical. </w:t>
      </w:r>
      <w:r w:rsidR="004A5829">
        <w:t>(</w:t>
      </w:r>
      <w:r w:rsidR="00B36290">
        <w:t>4, 5</w:t>
      </w:r>
      <w:r w:rsidR="004A5829">
        <w:t xml:space="preserve">) </w:t>
      </w:r>
      <w:r w:rsidR="00980B25">
        <w:t>It is true that searching for</w:t>
      </w:r>
      <w:r>
        <w:t xml:space="preserve"> other structures for Trionfi di</w:t>
      </w:r>
      <w:r w:rsidR="00980B25">
        <w:t>d not provide better results. (</w:t>
      </w:r>
      <w:r w:rsidR="00B36290">
        <w:t>6</w:t>
      </w:r>
      <w:r w:rsidR="00980B25">
        <w:t xml:space="preserve">) </w:t>
      </w:r>
    </w:p>
    <w:p w:rsidR="00980B25" w:rsidRDefault="00980B25" w:rsidP="00980B25">
      <w:r>
        <w:t>After limiting the research to Tarocchi, we surprising see a huge reduction in the local information. Just for a typical situation, let me quote another of my studies, of several years ago. (</w:t>
      </w:r>
      <w:r w:rsidR="00B36290">
        <w:t>7</w:t>
      </w:r>
      <w:r>
        <w:t>) At the time, I searched in the dictionaries for references to card games in Florence and wrote</w:t>
      </w:r>
      <w:r w:rsidR="00026EFC">
        <w:t xml:space="preserve"> an article with the title of  </w:t>
      </w:r>
      <w:r w:rsidRPr="00026EFC">
        <w:rPr>
          <w:i/>
        </w:rPr>
        <w:t>Tarot in Florence in the 16th Century: Its Diffusion from Literary Sources</w:t>
      </w:r>
      <w:r>
        <w:t xml:space="preserve">. Well, what remains now of all those quotations if examined with the limits </w:t>
      </w:r>
      <w:r w:rsidR="0024493A">
        <w:t>accepted here? Nothing at all: e</w:t>
      </w:r>
      <w:r>
        <w:t xml:space="preserve">verywhere, when I intended to deal with Tarocchi, I was actually dealing with Minchiate. </w:t>
      </w:r>
    </w:p>
    <w:p w:rsidR="00256763" w:rsidRDefault="00DA2397" w:rsidP="004764C5">
      <w:r>
        <w:t>In the beginning of the 17</w:t>
      </w:r>
      <w:r w:rsidRPr="00DA2397">
        <w:rPr>
          <w:vertAlign w:val="superscript"/>
        </w:rPr>
        <w:t>th</w:t>
      </w:r>
      <w:r>
        <w:t xml:space="preserve"> century, however,</w:t>
      </w:r>
      <w:r w:rsidR="00B81268">
        <w:t xml:space="preserve"> we find a hardly question</w:t>
      </w:r>
      <w:r w:rsidR="00256763">
        <w:t xml:space="preserve">able mention of Tarocchi played in Florence, together with Germini. </w:t>
      </w:r>
      <w:r w:rsidR="00B81268">
        <w:t>A</w:t>
      </w:r>
      <w:r w:rsidR="0024493A">
        <w:t xml:space="preserve"> formal</w:t>
      </w:r>
      <w:r w:rsidR="00B81268">
        <w:t xml:space="preserve"> decree </w:t>
      </w:r>
      <w:r w:rsidR="00256763">
        <w:t>of</w:t>
      </w:r>
      <w:r w:rsidR="00B81268">
        <w:t xml:space="preserve"> April</w:t>
      </w:r>
      <w:r w:rsidR="00256763">
        <w:t xml:space="preserve"> 160</w:t>
      </w:r>
      <w:r w:rsidR="00B81268">
        <w:t>5</w:t>
      </w:r>
      <w:r w:rsidR="00256763">
        <w:t xml:space="preserve">, extended </w:t>
      </w:r>
      <w:r w:rsidR="00B81268">
        <w:t xml:space="preserve">and published in printed form </w:t>
      </w:r>
      <w:r w:rsidR="00256763">
        <w:t xml:space="preserve">in </w:t>
      </w:r>
      <w:r w:rsidR="00B81268">
        <w:t xml:space="preserve">June </w:t>
      </w:r>
      <w:r w:rsidR="00256763">
        <w:t xml:space="preserve">1606, </w:t>
      </w:r>
      <w:r w:rsidR="006B13EA">
        <w:t>quoted</w:t>
      </w:r>
      <w:r w:rsidR="00256763">
        <w:t xml:space="preserve"> precisely these </w:t>
      </w:r>
      <w:r w:rsidR="006B13EA">
        <w:t>n</w:t>
      </w:r>
      <w:r w:rsidR="00256763">
        <w:t xml:space="preserve">ames </w:t>
      </w:r>
      <w:r w:rsidR="006B13EA">
        <w:t>for</w:t>
      </w:r>
      <w:r w:rsidR="00256763">
        <w:t xml:space="preserve"> the only </w:t>
      </w:r>
      <w:r w:rsidR="006B13EA">
        <w:t xml:space="preserve">two </w:t>
      </w:r>
      <w:r w:rsidR="00256763">
        <w:t>card games allowed, in addition to Bocce. (</w:t>
      </w:r>
      <w:r w:rsidR="00B36290">
        <w:t>8</w:t>
      </w:r>
      <w:r w:rsidR="00256763">
        <w:t>)</w:t>
      </w:r>
    </w:p>
    <w:p w:rsidR="00C30114" w:rsidRDefault="00FE669F" w:rsidP="004764C5">
      <w:r>
        <w:t>Then, i</w:t>
      </w:r>
      <w:r w:rsidR="00DA2397">
        <w:t xml:space="preserve">n </w:t>
      </w:r>
      <w:r w:rsidR="00256763">
        <w:t>17</w:t>
      </w:r>
      <w:r w:rsidR="00C30114">
        <w:t>53</w:t>
      </w:r>
      <w:r w:rsidR="00DA2397">
        <w:t>,</w:t>
      </w:r>
      <w:r w:rsidR="00B81268">
        <w:t xml:space="preserve"> </w:t>
      </w:r>
      <w:r w:rsidR="006B13EA">
        <w:t xml:space="preserve">half a dozen Tarocchi packs </w:t>
      </w:r>
      <w:r w:rsidR="00DA2397">
        <w:t>were</w:t>
      </w:r>
      <w:r w:rsidR="00C30114">
        <w:t xml:space="preserve"> </w:t>
      </w:r>
      <w:r w:rsidR="006B13EA">
        <w:t>recorded</w:t>
      </w:r>
      <w:r w:rsidR="00C30114">
        <w:t xml:space="preserve"> in Florence, just in </w:t>
      </w:r>
      <w:r w:rsidR="006B13EA">
        <w:t>transit</w:t>
      </w:r>
      <w:r w:rsidR="00C30114">
        <w:t xml:space="preserve"> </w:t>
      </w:r>
      <w:r>
        <w:t xml:space="preserve">however </w:t>
      </w:r>
      <w:r w:rsidR="00C30114">
        <w:t>from Bologna to Messina. (</w:t>
      </w:r>
      <w:r w:rsidR="00B36290">
        <w:t>9</w:t>
      </w:r>
      <w:r w:rsidR="00C30114">
        <w:t>) To confirm that this tradition wa</w:t>
      </w:r>
      <w:r w:rsidR="006B13EA">
        <w:t>s extraneous to Florence, they we</w:t>
      </w:r>
      <w:r w:rsidR="00C30114">
        <w:t>re indicated as “</w:t>
      </w:r>
      <w:proofErr w:type="spellStart"/>
      <w:r w:rsidR="00C30114">
        <w:t>alla</w:t>
      </w:r>
      <w:proofErr w:type="spellEnd"/>
      <w:r w:rsidR="00C30114">
        <w:t xml:space="preserve"> Milanese”, the kind in use in Milan.</w:t>
      </w:r>
    </w:p>
    <w:p w:rsidR="00483344" w:rsidRDefault="0024493A" w:rsidP="004764C5">
      <w:r>
        <w:t>Even later on, w</w:t>
      </w:r>
      <w:r w:rsidR="00483344">
        <w:t>hat I found among the cards produced in Florence in the years 1775-87 (</w:t>
      </w:r>
      <w:r w:rsidR="00B36290">
        <w:t>10</w:t>
      </w:r>
      <w:r w:rsidR="00483344">
        <w:t>) and 1815-61 (</w:t>
      </w:r>
      <w:r w:rsidR="00B36290">
        <w:t>11</w:t>
      </w:r>
      <w:r w:rsidR="00483344">
        <w:t xml:space="preserve">) were just Minchiate, never could </w:t>
      </w:r>
      <w:r w:rsidR="00B81268">
        <w:t xml:space="preserve">I </w:t>
      </w:r>
      <w:r w:rsidR="00483344">
        <w:t>discover any Tarocchi locally produced.</w:t>
      </w:r>
    </w:p>
    <w:p w:rsidR="006031D9" w:rsidRDefault="006031D9" w:rsidP="004764C5"/>
    <w:p w:rsidR="00DA2397" w:rsidRDefault="006B13EA" w:rsidP="00DA2397">
      <w:pPr>
        <w:pStyle w:val="Heading2"/>
      </w:pPr>
      <w:r>
        <w:t>1752-17</w:t>
      </w:r>
      <w:r w:rsidR="00DA2397">
        <w:t xml:space="preserve">80 – Tax stamps </w:t>
      </w:r>
      <w:r w:rsidR="003A6159">
        <w:t xml:space="preserve">in Tuscany </w:t>
      </w:r>
      <w:r w:rsidR="00DA2397">
        <w:t>?</w:t>
      </w:r>
    </w:p>
    <w:p w:rsidR="00DA2397" w:rsidRDefault="00DA2397" w:rsidP="004764C5"/>
    <w:p w:rsidR="00617652" w:rsidRDefault="00617652" w:rsidP="004764C5">
      <w:r>
        <w:t>After mentioning above</w:t>
      </w:r>
      <w:r w:rsidR="006031D9">
        <w:t xml:space="preserve"> </w:t>
      </w:r>
      <w:r>
        <w:t>some</w:t>
      </w:r>
      <w:r w:rsidR="006031D9">
        <w:t xml:space="preserve"> documents that I have </w:t>
      </w:r>
      <w:r w:rsidR="00DA2397">
        <w:t xml:space="preserve">discovered and </w:t>
      </w:r>
      <w:r w:rsidR="006031D9">
        <w:t xml:space="preserve">studied, </w:t>
      </w:r>
      <w:r>
        <w:t xml:space="preserve">let us pass to examine some </w:t>
      </w:r>
      <w:r w:rsidR="00FE669F">
        <w:t>data</w:t>
      </w:r>
      <w:r>
        <w:t xml:space="preserve"> published by other authors. We can thus run into</w:t>
      </w:r>
      <w:r w:rsidR="00FE669F">
        <w:t xml:space="preserve"> fur</w:t>
      </w:r>
      <w:r w:rsidR="006031D9">
        <w:t>ther sources of information</w:t>
      </w:r>
      <w:r w:rsidR="00FE669F">
        <w:t xml:space="preserve">, and actually </w:t>
      </w:r>
      <w:r w:rsidR="006031D9">
        <w:t xml:space="preserve">we do find sure traces </w:t>
      </w:r>
      <w:r w:rsidR="00FE669F">
        <w:t xml:space="preserve">here </w:t>
      </w:r>
      <w:r w:rsidR="006031D9">
        <w:t>of Tarocch</w:t>
      </w:r>
      <w:r w:rsidR="00FE669F">
        <w:t>i produced and used in Florence.</w:t>
      </w:r>
    </w:p>
    <w:p w:rsidR="00DA2397" w:rsidRDefault="006031D9" w:rsidP="004764C5">
      <w:r>
        <w:lastRenderedPageBreak/>
        <w:t>The kind of proof is</w:t>
      </w:r>
      <w:r w:rsidR="00617652">
        <w:t xml:space="preserve"> the best that one can imagine: n</w:t>
      </w:r>
      <w:r>
        <w:t xml:space="preserve">ot only </w:t>
      </w:r>
      <w:r w:rsidR="00FE669F">
        <w:t xml:space="preserve">we </w:t>
      </w:r>
      <w:r w:rsidR="00617652">
        <w:t>obtain</w:t>
      </w:r>
      <w:r>
        <w:t xml:space="preserve"> information on </w:t>
      </w:r>
      <w:r w:rsidR="00617652">
        <w:t>Tarocchi</w:t>
      </w:r>
      <w:r>
        <w:t xml:space="preserve"> </w:t>
      </w:r>
      <w:r w:rsidR="0024493A">
        <w:t>employed</w:t>
      </w:r>
      <w:r w:rsidR="00617652">
        <w:t xml:space="preserve"> in Tuscany</w:t>
      </w:r>
      <w:r>
        <w:t xml:space="preserve">, we also </w:t>
      </w:r>
      <w:r w:rsidR="00617652">
        <w:t>realise</w:t>
      </w:r>
      <w:r>
        <w:t xml:space="preserve"> which were the </w:t>
      </w:r>
      <w:r w:rsidR="00617652">
        <w:t xml:space="preserve">tax </w:t>
      </w:r>
      <w:r>
        <w:t xml:space="preserve">stamps </w:t>
      </w:r>
      <w:r w:rsidR="0024493A">
        <w:t xml:space="preserve">authorised and </w:t>
      </w:r>
      <w:r w:rsidR="00617652">
        <w:t>printed</w:t>
      </w:r>
      <w:r>
        <w:t xml:space="preserve"> on them and </w:t>
      </w:r>
      <w:r w:rsidR="00617652">
        <w:t xml:space="preserve">exactly </w:t>
      </w:r>
      <w:r>
        <w:t xml:space="preserve">in which tarot card. </w:t>
      </w:r>
    </w:p>
    <w:p w:rsidR="006031D9" w:rsidRDefault="006031D9" w:rsidP="004764C5">
      <w:r>
        <w:t xml:space="preserve">In </w:t>
      </w:r>
      <w:r w:rsidR="00617652">
        <w:t xml:space="preserve">particular, in </w:t>
      </w:r>
      <w:r>
        <w:t xml:space="preserve">1752 and up to 1762, there was the stamp of ADA with the autograph signature of Domenico </w:t>
      </w:r>
      <w:proofErr w:type="spellStart"/>
      <w:r>
        <w:t>Aldini</w:t>
      </w:r>
      <w:proofErr w:type="spellEnd"/>
      <w:r>
        <w:t xml:space="preserve"> on the Page of Swords and further on in the following years up to at least 1780, the same </w:t>
      </w:r>
      <w:r w:rsidR="00617652">
        <w:t xml:space="preserve">stamp and signature </w:t>
      </w:r>
      <w:r>
        <w:t>were applied on the Knight of Batons</w:t>
      </w:r>
      <w:r w:rsidR="00334A57">
        <w:t xml:space="preserve"> of each Tarocchi pack</w:t>
      </w:r>
      <w:r>
        <w:t xml:space="preserve">. </w:t>
      </w:r>
    </w:p>
    <w:p w:rsidR="006031D9" w:rsidRDefault="006031D9" w:rsidP="004764C5">
      <w:r>
        <w:t>This information was commun</w:t>
      </w:r>
      <w:r w:rsidR="00B81268">
        <w:t>icat</w:t>
      </w:r>
      <w:r>
        <w:t>ed to partic</w:t>
      </w:r>
      <w:r w:rsidR="00B81268">
        <w:t>ipants in the 1980 Convention o</w:t>
      </w:r>
      <w:r w:rsidR="00334A57">
        <w:t>f the IPCS by Alberto Milano, an influential expert of</w:t>
      </w:r>
      <w:r>
        <w:t xml:space="preserve"> ca</w:t>
      </w:r>
      <w:r w:rsidR="006A691F">
        <w:t>rd history</w:t>
      </w:r>
      <w:r w:rsidR="00FE669F">
        <w:t>,</w:t>
      </w:r>
      <w:r w:rsidR="006A691F">
        <w:t xml:space="preserve"> for many ye</w:t>
      </w:r>
      <w:r>
        <w:t xml:space="preserve">ars the </w:t>
      </w:r>
      <w:r w:rsidR="00334A57">
        <w:t xml:space="preserve">Italian </w:t>
      </w:r>
      <w:r>
        <w:t>d</w:t>
      </w:r>
      <w:r w:rsidR="00DA2397">
        <w:t>elegate in the IPCS. An abridged version of that</w:t>
      </w:r>
      <w:r>
        <w:t xml:space="preserve"> communication was </w:t>
      </w:r>
      <w:r w:rsidR="00DA2397">
        <w:t>then published</w:t>
      </w:r>
      <w:r>
        <w:t xml:space="preserve"> in the official journal of the Society (</w:t>
      </w:r>
      <w:r w:rsidR="00B36290">
        <w:t>12</w:t>
      </w:r>
      <w:r>
        <w:t>).</w:t>
      </w:r>
      <w:r w:rsidR="00DA2397">
        <w:t xml:space="preserve"> </w:t>
      </w:r>
      <w:r>
        <w:t xml:space="preserve">Moreover, a few years later, the same information was reproduced in a fine table form in the </w:t>
      </w:r>
      <w:r w:rsidR="007F66EB">
        <w:t>well-known</w:t>
      </w:r>
      <w:r>
        <w:t xml:space="preserve"> </w:t>
      </w:r>
      <w:proofErr w:type="spellStart"/>
      <w:r w:rsidRPr="00026EFC">
        <w:rPr>
          <w:i/>
        </w:rPr>
        <w:t>Encyclopedia</w:t>
      </w:r>
      <w:proofErr w:type="spellEnd"/>
      <w:r>
        <w:t xml:space="preserve"> by Stuart Kaplan</w:t>
      </w:r>
      <w:r w:rsidR="00617652">
        <w:t>,</w:t>
      </w:r>
      <w:r>
        <w:t xml:space="preserve"> (</w:t>
      </w:r>
      <w:r w:rsidR="00B36290">
        <w:t>13</w:t>
      </w:r>
      <w:r>
        <w:t>)</w:t>
      </w:r>
      <w:r w:rsidR="00617652">
        <w:t xml:space="preserve"> thus reaching a wide scope of collectors and </w:t>
      </w:r>
      <w:r w:rsidR="0024493A">
        <w:t xml:space="preserve">tarot </w:t>
      </w:r>
      <w:r w:rsidR="00617652">
        <w:t>experts.</w:t>
      </w:r>
    </w:p>
    <w:p w:rsidR="006B13EA" w:rsidRDefault="00617652" w:rsidP="004764C5">
      <w:r>
        <w:t>The following t</w:t>
      </w:r>
      <w:r w:rsidR="006B13EA">
        <w:t>able is copied from the last work.</w:t>
      </w:r>
    </w:p>
    <w:p w:rsidR="00C21C15" w:rsidRDefault="00C21C15" w:rsidP="004764C5"/>
    <w:tbl>
      <w:tblPr>
        <w:tblStyle w:val="TableGrid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0"/>
        <w:gridCol w:w="1670"/>
        <w:gridCol w:w="1263"/>
        <w:gridCol w:w="1670"/>
        <w:gridCol w:w="1690"/>
      </w:tblGrid>
      <w:tr w:rsidR="00C21C15" w:rsidRPr="002B4A19" w:rsidTr="003A6159">
        <w:tc>
          <w:tcPr>
            <w:tcW w:w="0" w:type="auto"/>
          </w:tcPr>
          <w:p w:rsidR="00C21C15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Years</w:t>
            </w:r>
          </w:p>
        </w:tc>
        <w:tc>
          <w:tcPr>
            <w:tcW w:w="0" w:type="auto"/>
          </w:tcPr>
          <w:p w:rsidR="00C21C15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Tarot</w:t>
            </w:r>
          </w:p>
        </w:tc>
        <w:tc>
          <w:tcPr>
            <w:tcW w:w="0" w:type="auto"/>
          </w:tcPr>
          <w:p w:rsidR="00C21C15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Minchiate</w:t>
            </w:r>
          </w:p>
        </w:tc>
        <w:tc>
          <w:tcPr>
            <w:tcW w:w="0" w:type="auto"/>
          </w:tcPr>
          <w:p w:rsidR="00C21C15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Italian</w:t>
            </w:r>
          </w:p>
        </w:tc>
        <w:tc>
          <w:tcPr>
            <w:tcW w:w="0" w:type="auto"/>
          </w:tcPr>
          <w:p w:rsidR="00C21C15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French</w:t>
            </w:r>
          </w:p>
        </w:tc>
      </w:tr>
      <w:tr w:rsidR="003A6159" w:rsidRPr="002B4A19" w:rsidTr="003A6159">
        <w:tc>
          <w:tcPr>
            <w:tcW w:w="0" w:type="auto"/>
          </w:tcPr>
          <w:p w:rsidR="003A6159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3A6159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3A6159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3A6159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3A6159" w:rsidRPr="002B4A19" w:rsidRDefault="003A6159" w:rsidP="003A6159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0D2B5B" w:rsidRPr="002B4A19" w:rsidTr="003A6159">
        <w:tc>
          <w:tcPr>
            <w:tcW w:w="0" w:type="auto"/>
          </w:tcPr>
          <w:p w:rsidR="000D2B5B" w:rsidRPr="002B4A19" w:rsidRDefault="000D2B5B" w:rsidP="003A6159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1752 Jan 1 -  Jun 30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0D2B5B" w:rsidRPr="002B4A19" w:rsidRDefault="000D2B5B" w:rsidP="00975BB4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38</w:t>
            </w:r>
            <w:r>
              <w:rPr>
                <w:rFonts w:eastAsia="Calibri" w:cs="Times New Roman"/>
                <w:szCs w:val="24"/>
                <w:lang w:val="it-IT"/>
              </w:rPr>
              <w:t xml:space="preserve"> (Sun)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Clubs</w:t>
            </w:r>
          </w:p>
        </w:tc>
      </w:tr>
      <w:tr w:rsidR="000D2B5B" w:rsidRPr="002B4A19" w:rsidTr="003A6159">
        <w:tc>
          <w:tcPr>
            <w:tcW w:w="0" w:type="auto"/>
          </w:tcPr>
          <w:p w:rsidR="000D2B5B" w:rsidRPr="002B4A19" w:rsidRDefault="000D2B5B" w:rsidP="003A6159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1752 Jun 30 - 1762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0D2B5B" w:rsidRPr="002B4A19" w:rsidRDefault="000D2B5B" w:rsidP="00975BB4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21</w:t>
            </w:r>
            <w:r>
              <w:rPr>
                <w:rFonts w:eastAsia="Calibri" w:cs="Times New Roman"/>
                <w:szCs w:val="24"/>
                <w:lang w:val="it-IT"/>
              </w:rPr>
              <w:t xml:space="preserve"> (Water)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Jack Diamonds</w:t>
            </w:r>
          </w:p>
        </w:tc>
      </w:tr>
      <w:tr w:rsidR="000D2B5B" w:rsidRPr="002B4A19" w:rsidTr="003A6159">
        <w:tc>
          <w:tcPr>
            <w:tcW w:w="0" w:type="auto"/>
          </w:tcPr>
          <w:p w:rsidR="000D2B5B" w:rsidRPr="002B4A19" w:rsidRDefault="000D2B5B" w:rsidP="003A6159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1762 - 1780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0D2B5B" w:rsidRDefault="000D2B5B" w:rsidP="00975BB4">
            <w:r w:rsidRPr="00607A15">
              <w:rPr>
                <w:rFonts w:eastAsia="Calibri" w:cs="Times New Roman"/>
                <w:szCs w:val="24"/>
                <w:lang w:val="it-IT"/>
              </w:rPr>
              <w:t>21 (Water)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Coins</w:t>
            </w:r>
          </w:p>
        </w:tc>
        <w:tc>
          <w:tcPr>
            <w:tcW w:w="0" w:type="auto"/>
          </w:tcPr>
          <w:p w:rsidR="000D2B5B" w:rsidRPr="002B4A19" w:rsidRDefault="000D2B5B" w:rsidP="003A6159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Jack Diamonds</w:t>
            </w:r>
          </w:p>
        </w:tc>
      </w:tr>
    </w:tbl>
    <w:p w:rsidR="00C21C15" w:rsidRDefault="003A6159" w:rsidP="003A6159">
      <w:pPr>
        <w:tabs>
          <w:tab w:val="left" w:pos="1222"/>
        </w:tabs>
      </w:pPr>
      <w:r>
        <w:tab/>
      </w:r>
      <w:r>
        <w:br w:type="textWrapping" w:clear="all"/>
      </w:r>
    </w:p>
    <w:p w:rsidR="006031D9" w:rsidRDefault="007F66EB" w:rsidP="004764C5">
      <w:r>
        <w:t>A</w:t>
      </w:r>
      <w:r w:rsidR="006A691F">
        <w:t>nother</w:t>
      </w:r>
      <w:r w:rsidR="006031D9">
        <w:t xml:space="preserve"> </w:t>
      </w:r>
      <w:r w:rsidR="006A691F">
        <w:t xml:space="preserve">short article </w:t>
      </w:r>
      <w:r w:rsidR="006B13EA">
        <w:t>on Florentine c</w:t>
      </w:r>
      <w:r w:rsidR="00626528" w:rsidRPr="00626528">
        <w:t xml:space="preserve">ardmakers </w:t>
      </w:r>
      <w:r w:rsidR="006B13EA">
        <w:t>and concession h</w:t>
      </w:r>
      <w:r w:rsidR="00626528" w:rsidRPr="00626528">
        <w:t>olders</w:t>
      </w:r>
      <w:r w:rsidR="002B4A19">
        <w:t xml:space="preserve"> was published</w:t>
      </w:r>
      <w:r w:rsidR="006B13EA">
        <w:t xml:space="preserve"> later on, which </w:t>
      </w:r>
      <w:r w:rsidR="006A691F">
        <w:t xml:space="preserve">has been forgotten by everybody, </w:t>
      </w:r>
      <w:r>
        <w:t>including myself</w:t>
      </w:r>
      <w:r w:rsidR="006A691F">
        <w:t>. (</w:t>
      </w:r>
      <w:r w:rsidR="00B36290">
        <w:t>14</w:t>
      </w:r>
      <w:r w:rsidR="006A691F">
        <w:t xml:space="preserve">) There was no trace of Tarocchi, but unfortunately the extended list of </w:t>
      </w:r>
      <w:r w:rsidR="006B13EA">
        <w:t xml:space="preserve">tax </w:t>
      </w:r>
      <w:r w:rsidR="006A691F">
        <w:t>stam</w:t>
      </w:r>
      <w:r>
        <w:t>ps only reached the year 1751, t</w:t>
      </w:r>
      <w:r w:rsidR="006A691F">
        <w:t>hus leaving the question unsolved.</w:t>
      </w:r>
    </w:p>
    <w:p w:rsidR="007F66EB" w:rsidRDefault="007F66EB" w:rsidP="004764C5"/>
    <w:p w:rsidR="007F66EB" w:rsidRDefault="00791DF4" w:rsidP="007F66EB">
      <w:pPr>
        <w:pStyle w:val="Heading2"/>
      </w:pPr>
      <w:r>
        <w:t>1752-1780</w:t>
      </w:r>
      <w:r w:rsidR="007F66EB">
        <w:t xml:space="preserve"> Tax stamps </w:t>
      </w:r>
      <w:r w:rsidR="003A6159">
        <w:t xml:space="preserve">in Tuscany </w:t>
      </w:r>
      <w:r w:rsidR="007F66EB">
        <w:t>!</w:t>
      </w:r>
    </w:p>
    <w:p w:rsidR="007F66EB" w:rsidRDefault="007F66EB" w:rsidP="004764C5"/>
    <w:p w:rsidR="006A691F" w:rsidRDefault="00FE669F" w:rsidP="004764C5">
      <w:r>
        <w:t>Now</w:t>
      </w:r>
      <w:r w:rsidR="006A691F">
        <w:t xml:space="preserve">, </w:t>
      </w:r>
      <w:r w:rsidR="00334985">
        <w:t>after verifying how the previo</w:t>
      </w:r>
      <w:r w:rsidR="009C4FC2">
        <w:t xml:space="preserve">usly reported </w:t>
      </w:r>
      <w:r w:rsidR="00617652">
        <w:t xml:space="preserve">data (14) </w:t>
      </w:r>
      <w:r w:rsidR="00334985">
        <w:t>continued in the following years</w:t>
      </w:r>
      <w:r>
        <w:t>,</w:t>
      </w:r>
      <w:r w:rsidRPr="00FE669F">
        <w:t xml:space="preserve"> </w:t>
      </w:r>
      <w:r>
        <w:t>I am able to solve the question</w:t>
      </w:r>
      <w:r w:rsidR="00334985">
        <w:t>. I</w:t>
      </w:r>
      <w:r w:rsidR="006A691F">
        <w:t xml:space="preserve">n the </w:t>
      </w:r>
      <w:r w:rsidR="0024493A">
        <w:t>contracts</w:t>
      </w:r>
      <w:r w:rsidR="006A691F">
        <w:t xml:space="preserve"> that established which stamps and on which cards had to </w:t>
      </w:r>
      <w:r w:rsidR="00334985">
        <w:t>be printed on</w:t>
      </w:r>
      <w:r w:rsidR="006A691F">
        <w:t xml:space="preserve"> the various </w:t>
      </w:r>
      <w:r w:rsidR="00617652">
        <w:t xml:space="preserve">card </w:t>
      </w:r>
      <w:r w:rsidR="006A691F">
        <w:t>qualities</w:t>
      </w:r>
      <w:r w:rsidR="007F66EB" w:rsidRPr="007F66EB">
        <w:t xml:space="preserve"> </w:t>
      </w:r>
      <w:r w:rsidR="007F66EB">
        <w:t>made in Florence,</w:t>
      </w:r>
      <w:r w:rsidR="007F66EB" w:rsidRPr="007F66EB">
        <w:t xml:space="preserve"> </w:t>
      </w:r>
      <w:r w:rsidR="007F66EB">
        <w:t>there are no traces of Tarocchi!</w:t>
      </w:r>
      <w:r w:rsidR="00334985">
        <w:t xml:space="preserve"> </w:t>
      </w:r>
    </w:p>
    <w:p w:rsidR="00334985" w:rsidRDefault="00334985" w:rsidP="004764C5">
      <w:r>
        <w:t>The relevant information is summarised in the following table</w:t>
      </w:r>
      <w:r w:rsidR="009C4FC2">
        <w:t>, with the corresponding references</w:t>
      </w:r>
      <w:r>
        <w:t>.</w:t>
      </w:r>
    </w:p>
    <w:p w:rsidR="00C21C15" w:rsidRDefault="00C21C15" w:rsidP="004764C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690"/>
        <w:gridCol w:w="1463"/>
        <w:gridCol w:w="1736"/>
        <w:gridCol w:w="1317"/>
        <w:gridCol w:w="1263"/>
        <w:gridCol w:w="1282"/>
      </w:tblGrid>
      <w:tr w:rsidR="003A6159" w:rsidRPr="002B4A19" w:rsidTr="00F37797">
        <w:trPr>
          <w:jc w:val="center"/>
        </w:trPr>
        <w:tc>
          <w:tcPr>
            <w:tcW w:w="0" w:type="auto"/>
          </w:tcPr>
          <w:p w:rsidR="003A6159" w:rsidRPr="002B4A19" w:rsidRDefault="003A6159" w:rsidP="006F0696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Years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French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(It</w:t>
            </w:r>
            <w:r w:rsidR="00FE669F">
              <w:rPr>
                <w:rFonts w:eastAsia="Calibri" w:cs="Times New Roman"/>
                <w:szCs w:val="24"/>
                <w:lang w:val="it-IT"/>
              </w:rPr>
              <w:t>al</w:t>
            </w:r>
            <w:r w:rsidRPr="002B4A19">
              <w:rPr>
                <w:rFonts w:eastAsia="Calibri" w:cs="Times New Roman"/>
                <w:szCs w:val="24"/>
                <w:lang w:val="it-IT"/>
              </w:rPr>
              <w:t>.) Fini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(It</w:t>
            </w:r>
            <w:r w:rsidR="00FE669F">
              <w:rPr>
                <w:rFonts w:eastAsia="Calibri" w:cs="Times New Roman"/>
                <w:szCs w:val="24"/>
                <w:lang w:val="it-IT"/>
              </w:rPr>
              <w:t>al</w:t>
            </w:r>
            <w:r w:rsidRPr="002B4A19">
              <w:rPr>
                <w:rFonts w:eastAsia="Calibri" w:cs="Times New Roman"/>
                <w:szCs w:val="24"/>
                <w:lang w:val="it-IT"/>
              </w:rPr>
              <w:t>.) Ordinarie</w:t>
            </w:r>
          </w:p>
        </w:tc>
        <w:tc>
          <w:tcPr>
            <w:tcW w:w="0" w:type="auto"/>
          </w:tcPr>
          <w:p w:rsidR="003A6159" w:rsidRPr="002B4A19" w:rsidRDefault="00FE669F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>
              <w:rPr>
                <w:rFonts w:eastAsia="Calibri" w:cs="Times New Roman"/>
                <w:szCs w:val="24"/>
                <w:lang w:val="it-IT"/>
              </w:rPr>
              <w:t>Spanish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Minchiate</w:t>
            </w:r>
          </w:p>
        </w:tc>
        <w:tc>
          <w:tcPr>
            <w:tcW w:w="0" w:type="auto"/>
          </w:tcPr>
          <w:p w:rsidR="003A6159" w:rsidRPr="002B4A19" w:rsidRDefault="003F0B14" w:rsidP="0001753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References</w:t>
            </w:r>
          </w:p>
        </w:tc>
      </w:tr>
      <w:tr w:rsidR="003A6159" w:rsidRPr="002B4A19" w:rsidTr="00F37797">
        <w:trPr>
          <w:jc w:val="center"/>
        </w:trPr>
        <w:tc>
          <w:tcPr>
            <w:tcW w:w="0" w:type="auto"/>
          </w:tcPr>
          <w:p w:rsidR="003A6159" w:rsidRPr="002B4A19" w:rsidRDefault="003A6159" w:rsidP="006F069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:rsidR="003A6159" w:rsidRPr="002B4A19" w:rsidRDefault="003423D9" w:rsidP="00F12267">
            <w:pPr>
              <w:jc w:val="center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0" w:type="auto"/>
          </w:tcPr>
          <w:p w:rsidR="003A6159" w:rsidRPr="002B4A19" w:rsidRDefault="003423D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2</w:t>
            </w:r>
          </w:p>
        </w:tc>
        <w:tc>
          <w:tcPr>
            <w:tcW w:w="0" w:type="auto"/>
          </w:tcPr>
          <w:p w:rsidR="003A6159" w:rsidRPr="002B4A19" w:rsidRDefault="003423D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3</w:t>
            </w:r>
          </w:p>
        </w:tc>
        <w:tc>
          <w:tcPr>
            <w:tcW w:w="0" w:type="auto"/>
          </w:tcPr>
          <w:p w:rsidR="003A6159" w:rsidRPr="002B4A19" w:rsidRDefault="003423D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4</w:t>
            </w:r>
          </w:p>
        </w:tc>
        <w:tc>
          <w:tcPr>
            <w:tcW w:w="0" w:type="auto"/>
          </w:tcPr>
          <w:p w:rsidR="003A6159" w:rsidRPr="002B4A19" w:rsidRDefault="003423D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5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</w:p>
        </w:tc>
      </w:tr>
      <w:tr w:rsidR="003A6159" w:rsidRPr="002B4A19" w:rsidTr="00F37797">
        <w:trPr>
          <w:jc w:val="center"/>
        </w:trPr>
        <w:tc>
          <w:tcPr>
            <w:tcW w:w="0" w:type="auto"/>
          </w:tcPr>
          <w:p w:rsidR="003A6159" w:rsidRPr="002B4A19" w:rsidRDefault="003A6159" w:rsidP="006F0696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1752-56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Clubs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3A6159" w:rsidRPr="002B4A19" w:rsidRDefault="003A6159">
            <w:pPr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Coins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38</w:t>
            </w:r>
            <w:r w:rsidR="00791DF4">
              <w:rPr>
                <w:rFonts w:eastAsia="Calibri" w:cs="Times New Roman"/>
                <w:szCs w:val="24"/>
                <w:lang w:val="it-IT"/>
              </w:rPr>
              <w:t xml:space="preserve"> (Sun)</w:t>
            </w:r>
          </w:p>
        </w:tc>
        <w:tc>
          <w:tcPr>
            <w:tcW w:w="0" w:type="auto"/>
          </w:tcPr>
          <w:p w:rsidR="003A6159" w:rsidRPr="002B4A19" w:rsidRDefault="003A6159" w:rsidP="00791DF4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(</w:t>
            </w:r>
            <w:r w:rsidR="003F0B14">
              <w:rPr>
                <w:rFonts w:eastAsia="Calibri" w:cs="Times New Roman"/>
                <w:szCs w:val="24"/>
                <w:lang w:val="it-IT"/>
              </w:rPr>
              <w:t>15</w:t>
            </w:r>
            <w:r w:rsidRPr="002B4A19">
              <w:rPr>
                <w:rFonts w:eastAsia="Calibri" w:cs="Times New Roman"/>
                <w:szCs w:val="24"/>
                <w:lang w:val="it-IT"/>
              </w:rPr>
              <w:t>)</w:t>
            </w:r>
          </w:p>
        </w:tc>
      </w:tr>
      <w:tr w:rsidR="003A6159" w:rsidRPr="002B4A19" w:rsidTr="00F37797">
        <w:trPr>
          <w:jc w:val="center"/>
        </w:trPr>
        <w:tc>
          <w:tcPr>
            <w:tcW w:w="0" w:type="auto"/>
          </w:tcPr>
          <w:p w:rsidR="003A6159" w:rsidRPr="002B4A19" w:rsidRDefault="003A6159" w:rsidP="006F0696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1757-62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jc w:val="both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Jack Diamonds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3A6159" w:rsidRPr="002B4A19" w:rsidRDefault="003A6159">
            <w:pPr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3A6159" w:rsidRPr="002B4A19" w:rsidRDefault="003A6159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Coins</w:t>
            </w:r>
          </w:p>
        </w:tc>
        <w:tc>
          <w:tcPr>
            <w:tcW w:w="0" w:type="auto"/>
          </w:tcPr>
          <w:p w:rsidR="003A6159" w:rsidRPr="002B4A19" w:rsidRDefault="003A6159" w:rsidP="00F12267">
            <w:pPr>
              <w:jc w:val="center"/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21</w:t>
            </w:r>
            <w:r w:rsidR="00791DF4">
              <w:rPr>
                <w:rFonts w:eastAsia="Calibri" w:cs="Times New Roman"/>
                <w:szCs w:val="24"/>
                <w:lang w:val="it-IT"/>
              </w:rPr>
              <w:t xml:space="preserve"> (Water)</w:t>
            </w:r>
          </w:p>
        </w:tc>
        <w:tc>
          <w:tcPr>
            <w:tcW w:w="0" w:type="auto"/>
          </w:tcPr>
          <w:p w:rsidR="003A6159" w:rsidRPr="002B4A19" w:rsidRDefault="003A6159" w:rsidP="00791DF4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(</w:t>
            </w:r>
            <w:r w:rsidR="003F0B14">
              <w:rPr>
                <w:rFonts w:eastAsia="Calibri" w:cs="Times New Roman"/>
                <w:szCs w:val="24"/>
                <w:lang w:val="it-IT"/>
              </w:rPr>
              <w:t>16</w:t>
            </w:r>
            <w:r w:rsidRPr="002B4A19">
              <w:rPr>
                <w:rFonts w:eastAsia="Calibri" w:cs="Times New Roman"/>
                <w:szCs w:val="24"/>
                <w:lang w:val="it-IT"/>
              </w:rPr>
              <w:t>)</w:t>
            </w:r>
          </w:p>
        </w:tc>
      </w:tr>
      <w:tr w:rsidR="00791DF4" w:rsidRPr="002B4A19" w:rsidTr="00F37797">
        <w:trPr>
          <w:jc w:val="center"/>
        </w:trPr>
        <w:tc>
          <w:tcPr>
            <w:tcW w:w="0" w:type="auto"/>
          </w:tcPr>
          <w:p w:rsidR="00791DF4" w:rsidRPr="002B4A19" w:rsidRDefault="00791DF4" w:rsidP="006F0696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1763-71</w:t>
            </w:r>
          </w:p>
        </w:tc>
        <w:tc>
          <w:tcPr>
            <w:tcW w:w="0" w:type="auto"/>
          </w:tcPr>
          <w:p w:rsidR="00791DF4" w:rsidRPr="002B4A19" w:rsidRDefault="00791DF4" w:rsidP="00017532">
            <w:pPr>
              <w:jc w:val="both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Jack Diamonds</w:t>
            </w:r>
          </w:p>
        </w:tc>
        <w:tc>
          <w:tcPr>
            <w:tcW w:w="0" w:type="auto"/>
          </w:tcPr>
          <w:p w:rsidR="00791DF4" w:rsidRPr="002B4A19" w:rsidRDefault="00791DF4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791DF4" w:rsidRPr="002B4A19" w:rsidRDefault="00791DF4">
            <w:pPr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791DF4" w:rsidRPr="002B4A19" w:rsidRDefault="00791DF4" w:rsidP="00017532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Coins</w:t>
            </w:r>
          </w:p>
        </w:tc>
        <w:tc>
          <w:tcPr>
            <w:tcW w:w="0" w:type="auto"/>
          </w:tcPr>
          <w:p w:rsidR="00791DF4" w:rsidRDefault="00791DF4">
            <w:r w:rsidRPr="00607A15">
              <w:rPr>
                <w:rFonts w:eastAsia="Calibri" w:cs="Times New Roman"/>
                <w:szCs w:val="24"/>
                <w:lang w:val="it-IT"/>
              </w:rPr>
              <w:t>21 (Water)</w:t>
            </w:r>
          </w:p>
        </w:tc>
        <w:tc>
          <w:tcPr>
            <w:tcW w:w="0" w:type="auto"/>
          </w:tcPr>
          <w:p w:rsidR="00791DF4" w:rsidRPr="002B4A19" w:rsidRDefault="00791DF4" w:rsidP="00791DF4">
            <w:pPr>
              <w:rPr>
                <w:rFonts w:eastAsia="Calibri" w:cs="Times New Roman"/>
                <w:szCs w:val="24"/>
                <w:lang w:val="it-IT"/>
              </w:rPr>
            </w:pPr>
            <w:r w:rsidRPr="002B4A19">
              <w:rPr>
                <w:rFonts w:eastAsia="Calibri" w:cs="Times New Roman"/>
                <w:szCs w:val="24"/>
                <w:lang w:val="it-IT"/>
              </w:rPr>
              <w:t>(</w:t>
            </w:r>
            <w:r w:rsidR="003F0B14">
              <w:rPr>
                <w:rFonts w:eastAsia="Calibri" w:cs="Times New Roman"/>
                <w:szCs w:val="24"/>
                <w:lang w:val="it-IT"/>
              </w:rPr>
              <w:t>17</w:t>
            </w:r>
            <w:r w:rsidRPr="002B4A19">
              <w:rPr>
                <w:rFonts w:eastAsia="Calibri" w:cs="Times New Roman"/>
                <w:szCs w:val="24"/>
                <w:lang w:val="it-IT"/>
              </w:rPr>
              <w:t>)</w:t>
            </w:r>
          </w:p>
        </w:tc>
      </w:tr>
      <w:tr w:rsidR="00791DF4" w:rsidRPr="002B4A19" w:rsidTr="00F37797">
        <w:trPr>
          <w:jc w:val="center"/>
        </w:trPr>
        <w:tc>
          <w:tcPr>
            <w:tcW w:w="0" w:type="auto"/>
          </w:tcPr>
          <w:p w:rsidR="00791DF4" w:rsidRPr="002B4A19" w:rsidRDefault="00791DF4" w:rsidP="006F0696">
            <w:pPr>
              <w:rPr>
                <w:rFonts w:eastAsia="Calibri" w:cs="Times New Roman"/>
                <w:szCs w:val="24"/>
                <w:lang w:val="it-IT"/>
              </w:rPr>
            </w:pPr>
            <w:r>
              <w:rPr>
                <w:rFonts w:eastAsia="Calibri" w:cs="Times New Roman"/>
                <w:szCs w:val="24"/>
                <w:lang w:val="it-IT"/>
              </w:rPr>
              <w:t>1772-80</w:t>
            </w:r>
          </w:p>
        </w:tc>
        <w:tc>
          <w:tcPr>
            <w:tcW w:w="0" w:type="auto"/>
          </w:tcPr>
          <w:p w:rsidR="00791DF4" w:rsidRPr="002B4A19" w:rsidRDefault="00791DF4" w:rsidP="00975BB4">
            <w:pPr>
              <w:jc w:val="both"/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Jack Diamonds</w:t>
            </w:r>
          </w:p>
        </w:tc>
        <w:tc>
          <w:tcPr>
            <w:tcW w:w="0" w:type="auto"/>
          </w:tcPr>
          <w:p w:rsidR="00791DF4" w:rsidRPr="002B4A19" w:rsidRDefault="00791DF4" w:rsidP="00975BB4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Page Swords</w:t>
            </w:r>
          </w:p>
        </w:tc>
        <w:tc>
          <w:tcPr>
            <w:tcW w:w="0" w:type="auto"/>
          </w:tcPr>
          <w:p w:rsidR="00791DF4" w:rsidRPr="002B4A19" w:rsidRDefault="00791DF4" w:rsidP="00975BB4">
            <w:pPr>
              <w:rPr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Knight  Batons</w:t>
            </w:r>
          </w:p>
        </w:tc>
        <w:tc>
          <w:tcPr>
            <w:tcW w:w="0" w:type="auto"/>
          </w:tcPr>
          <w:p w:rsidR="00791DF4" w:rsidRPr="002B4A19" w:rsidRDefault="00791DF4" w:rsidP="00975BB4">
            <w:pPr>
              <w:rPr>
                <w:rFonts w:eastAsia="Calibri" w:cs="Times New Roman"/>
                <w:szCs w:val="24"/>
              </w:rPr>
            </w:pPr>
            <w:r w:rsidRPr="002B4A19">
              <w:rPr>
                <w:rFonts w:eastAsia="Calibri" w:cs="Times New Roman"/>
                <w:szCs w:val="24"/>
              </w:rPr>
              <w:t>King Coins</w:t>
            </w:r>
          </w:p>
        </w:tc>
        <w:tc>
          <w:tcPr>
            <w:tcW w:w="0" w:type="auto"/>
          </w:tcPr>
          <w:p w:rsidR="00791DF4" w:rsidRDefault="00791DF4">
            <w:r w:rsidRPr="00607A15">
              <w:rPr>
                <w:rFonts w:eastAsia="Calibri" w:cs="Times New Roman"/>
                <w:szCs w:val="24"/>
                <w:lang w:val="it-IT"/>
              </w:rPr>
              <w:t>21 (Water)</w:t>
            </w:r>
          </w:p>
        </w:tc>
        <w:tc>
          <w:tcPr>
            <w:tcW w:w="0" w:type="auto"/>
          </w:tcPr>
          <w:p w:rsidR="00791DF4" w:rsidRPr="002B4A19" w:rsidRDefault="00791DF4" w:rsidP="00B36290">
            <w:pPr>
              <w:rPr>
                <w:rFonts w:eastAsia="Calibri" w:cs="Times New Roman"/>
                <w:szCs w:val="24"/>
                <w:lang w:val="it-IT"/>
              </w:rPr>
            </w:pPr>
            <w:r>
              <w:rPr>
                <w:rFonts w:eastAsia="Calibri" w:cs="Times New Roman"/>
                <w:szCs w:val="24"/>
                <w:lang w:val="it-IT"/>
              </w:rPr>
              <w:t>(</w:t>
            </w:r>
            <w:r w:rsidR="003F0B14">
              <w:rPr>
                <w:rFonts w:eastAsia="Calibri" w:cs="Times New Roman"/>
                <w:szCs w:val="24"/>
                <w:lang w:val="it-IT"/>
              </w:rPr>
              <w:t>18</w:t>
            </w:r>
            <w:r>
              <w:rPr>
                <w:rFonts w:eastAsia="Calibri" w:cs="Times New Roman"/>
                <w:szCs w:val="24"/>
                <w:lang w:val="it-IT"/>
              </w:rPr>
              <w:t>)</w:t>
            </w:r>
          </w:p>
        </w:tc>
      </w:tr>
    </w:tbl>
    <w:p w:rsidR="00C21C15" w:rsidRDefault="00C21C15" w:rsidP="00334985"/>
    <w:p w:rsidR="003F0B14" w:rsidRDefault="00FE669F" w:rsidP="0024493A">
      <w:r>
        <w:t>In all contract</w:t>
      </w:r>
      <w:r w:rsidR="0024493A">
        <w:t xml:space="preserve">s, the concession holder </w:t>
      </w:r>
      <w:r w:rsidR="003F0B14">
        <w:t xml:space="preserve">indicated </w:t>
      </w:r>
      <w:r w:rsidR="0024493A">
        <w:t xml:space="preserve">was Domenico </w:t>
      </w:r>
      <w:proofErr w:type="spellStart"/>
      <w:r w:rsidR="0024493A">
        <w:t>Aldini</w:t>
      </w:r>
      <w:proofErr w:type="spellEnd"/>
      <w:r w:rsidR="0024493A">
        <w:t xml:space="preserve">, and this explains that in most cases he </w:t>
      </w:r>
      <w:r>
        <w:t>preferred</w:t>
      </w:r>
      <w:r w:rsidR="0024493A">
        <w:t xml:space="preserve"> not to change the previous stamp and its location. The extent of the concession was typically for five years, but in these </w:t>
      </w:r>
      <w:r w:rsidR="00D71E0C">
        <w:t>four</w:t>
      </w:r>
      <w:r w:rsidR="0024493A">
        <w:t xml:space="preserve"> cases it was obtained for 5, 6, </w:t>
      </w:r>
      <w:r w:rsidR="00D71E0C">
        <w:t xml:space="preserve">9, </w:t>
      </w:r>
      <w:r w:rsidR="003F0B14">
        <w:t xml:space="preserve">and 9 years, respectively. </w:t>
      </w:r>
    </w:p>
    <w:p w:rsidR="0024493A" w:rsidRDefault="0024493A" w:rsidP="0024493A">
      <w:r>
        <w:t xml:space="preserve">In </w:t>
      </w:r>
      <w:r w:rsidR="003F0B14">
        <w:t>1763</w:t>
      </w:r>
      <w:r>
        <w:t>, however, the concession holder was changed after a few months</w:t>
      </w:r>
      <w:r w:rsidR="003F0B14">
        <w:t>, as we read in an official register</w:t>
      </w:r>
      <w:r w:rsidR="003B496F">
        <w:t xml:space="preserve"> of the administration</w:t>
      </w:r>
      <w:r w:rsidR="003F0B14">
        <w:t>. (17</w:t>
      </w:r>
      <w:r>
        <w:t>)</w:t>
      </w:r>
      <w:r w:rsidR="003F0B14">
        <w:t xml:space="preserve"> According to </w:t>
      </w:r>
      <w:r w:rsidR="003B496F">
        <w:t xml:space="preserve">the </w:t>
      </w:r>
      <w:r w:rsidR="003F0B14">
        <w:t xml:space="preserve">same source, and differently from the information </w:t>
      </w:r>
      <w:r w:rsidR="003B496F">
        <w:t>reported</w:t>
      </w:r>
      <w:r w:rsidR="003F0B14">
        <w:t xml:space="preserve"> by </w:t>
      </w:r>
      <w:proofErr w:type="spellStart"/>
      <w:r w:rsidR="003F0B14">
        <w:t>Cantini</w:t>
      </w:r>
      <w:proofErr w:type="spellEnd"/>
      <w:r w:rsidR="003F0B14">
        <w:t xml:space="preserve">, the name of the concession holder for the nine years 1772-80 should have been Giuseppe </w:t>
      </w:r>
      <w:proofErr w:type="spellStart"/>
      <w:r w:rsidR="003F0B14">
        <w:t>Almano</w:t>
      </w:r>
      <w:proofErr w:type="spellEnd"/>
      <w:r w:rsidR="003F0B14">
        <w:t xml:space="preserve">, in his quality of </w:t>
      </w:r>
      <w:proofErr w:type="spellStart"/>
      <w:r w:rsidR="003F0B14">
        <w:t>Appaltatore</w:t>
      </w:r>
      <w:proofErr w:type="spellEnd"/>
      <w:r w:rsidR="003F0B14">
        <w:t xml:space="preserve"> </w:t>
      </w:r>
      <w:proofErr w:type="spellStart"/>
      <w:r w:rsidR="003F0B14">
        <w:t>Generale</w:t>
      </w:r>
      <w:proofErr w:type="spellEnd"/>
      <w:r w:rsidR="003F0B14">
        <w:t>.</w:t>
      </w:r>
    </w:p>
    <w:p w:rsidR="003423D9" w:rsidRDefault="003F0B14" w:rsidP="00334985">
      <w:r>
        <w:t>In any case, t</w:t>
      </w:r>
      <w:r w:rsidR="00334985">
        <w:t xml:space="preserve">here were no less than five qualities of cards, for </w:t>
      </w:r>
      <w:r w:rsidR="00617652">
        <w:t xml:space="preserve">which </w:t>
      </w:r>
      <w:r w:rsidR="00334985">
        <w:t>the position of the stamp</w:t>
      </w:r>
      <w:r w:rsidR="003423D9" w:rsidRPr="003423D9">
        <w:t xml:space="preserve"> </w:t>
      </w:r>
      <w:r w:rsidR="003423D9">
        <w:t>had to be distinguished</w:t>
      </w:r>
      <w:r w:rsidR="00334985">
        <w:t xml:space="preserve">: </w:t>
      </w:r>
    </w:p>
    <w:p w:rsidR="003423D9" w:rsidRDefault="003423D9" w:rsidP="003423D9">
      <w:pPr>
        <w:ind w:left="284" w:hanging="284"/>
      </w:pPr>
      <w:r>
        <w:t xml:space="preserve">1) </w:t>
      </w:r>
      <w:r w:rsidR="00334985">
        <w:t>French</w:t>
      </w:r>
      <w:r>
        <w:t>, “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>”</w:t>
      </w:r>
      <w:r w:rsidR="00026EFC">
        <w:t>,</w:t>
      </w:r>
      <w:bookmarkStart w:id="0" w:name="_GoBack"/>
      <w:bookmarkEnd w:id="0"/>
      <w:r>
        <w:t xml:space="preserve"> more commonly indicated in the registers as “</w:t>
      </w:r>
      <w:proofErr w:type="spellStart"/>
      <w:r>
        <w:t>picche</w:t>
      </w:r>
      <w:proofErr w:type="spellEnd"/>
      <w:r>
        <w:t xml:space="preserve"> </w:t>
      </w:r>
      <w:proofErr w:type="spellStart"/>
      <w:r>
        <w:t>fiori</w:t>
      </w:r>
      <w:proofErr w:type="spellEnd"/>
      <w:r>
        <w:t>”</w:t>
      </w:r>
      <w:r w:rsidR="00334985">
        <w:t xml:space="preserve">; </w:t>
      </w:r>
    </w:p>
    <w:p w:rsidR="00026EFC" w:rsidRDefault="003423D9" w:rsidP="003423D9">
      <w:pPr>
        <w:ind w:left="284" w:hanging="284"/>
      </w:pPr>
      <w:r>
        <w:lastRenderedPageBreak/>
        <w:t>2) “</w:t>
      </w:r>
      <w:proofErr w:type="spellStart"/>
      <w:r w:rsidR="00026EFC">
        <w:t>F</w:t>
      </w:r>
      <w:r>
        <w:t>ini</w:t>
      </w:r>
      <w:proofErr w:type="spellEnd"/>
      <w:r>
        <w:t>”</w:t>
      </w:r>
      <w:r w:rsidR="00026EFC">
        <w:t>,</w:t>
      </w:r>
      <w:r>
        <w:t xml:space="preserve"> </w:t>
      </w:r>
      <w:r w:rsidR="00026EFC">
        <w:t xml:space="preserve">which we might call Italian, usually indicated as “spade </w:t>
      </w:r>
      <w:proofErr w:type="spellStart"/>
      <w:r w:rsidR="00026EFC">
        <w:t>bastoni</w:t>
      </w:r>
      <w:proofErr w:type="spellEnd"/>
      <w:r w:rsidR="00026EFC">
        <w:t>”, produced in an extra quality;</w:t>
      </w:r>
      <w:r>
        <w:t xml:space="preserve"> </w:t>
      </w:r>
    </w:p>
    <w:p w:rsidR="003423D9" w:rsidRDefault="00026EFC" w:rsidP="003423D9">
      <w:pPr>
        <w:ind w:left="284" w:hanging="284"/>
      </w:pPr>
      <w:r>
        <w:t>3) “</w:t>
      </w:r>
      <w:proofErr w:type="spellStart"/>
      <w:r>
        <w:t>O</w:t>
      </w:r>
      <w:r w:rsidR="003423D9">
        <w:t>rdinarie</w:t>
      </w:r>
      <w:proofErr w:type="spellEnd"/>
      <w:r w:rsidR="003423D9">
        <w:t>”</w:t>
      </w:r>
      <w:r>
        <w:t xml:space="preserve">, same as above, </w:t>
      </w:r>
      <w:r w:rsidR="003423D9">
        <w:t xml:space="preserve"> produced </w:t>
      </w:r>
      <w:r>
        <w:t>however</w:t>
      </w:r>
      <w:r w:rsidR="003423D9">
        <w:t xml:space="preserve"> in </w:t>
      </w:r>
      <w:r w:rsidR="00EF3945">
        <w:t xml:space="preserve">a </w:t>
      </w:r>
      <w:r w:rsidR="00F12267">
        <w:t xml:space="preserve">common </w:t>
      </w:r>
      <w:r w:rsidR="00EF3945">
        <w:t>quality</w:t>
      </w:r>
      <w:r w:rsidR="003423D9">
        <w:t>;</w:t>
      </w:r>
    </w:p>
    <w:p w:rsidR="003423D9" w:rsidRDefault="003423D9" w:rsidP="003423D9">
      <w:pPr>
        <w:ind w:left="284" w:hanging="284"/>
      </w:pPr>
      <w:r>
        <w:t xml:space="preserve">4) </w:t>
      </w:r>
      <w:r w:rsidR="00334985">
        <w:t xml:space="preserve">Spanish, </w:t>
      </w:r>
      <w:r>
        <w:t>“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spagnola</w:t>
      </w:r>
      <w:proofErr w:type="spellEnd"/>
      <w:r>
        <w:t xml:space="preserve">”, often explicitly indicated </w:t>
      </w:r>
      <w:r w:rsidR="00334985">
        <w:t xml:space="preserve">for playing </w:t>
      </w:r>
      <w:proofErr w:type="spellStart"/>
      <w:r w:rsidR="00EF3945">
        <w:t>Ombre</w:t>
      </w:r>
      <w:proofErr w:type="spellEnd"/>
      <w:r w:rsidR="00AE2666">
        <w:t xml:space="preserve"> (namely, </w:t>
      </w:r>
      <w:r w:rsidR="00334985">
        <w:t>Hombre</w:t>
      </w:r>
      <w:r w:rsidR="00AE2666">
        <w:t>)</w:t>
      </w:r>
      <w:r w:rsidR="00334985">
        <w:t>;</w:t>
      </w:r>
    </w:p>
    <w:p w:rsidR="003423D9" w:rsidRPr="0024493A" w:rsidRDefault="003423D9" w:rsidP="003423D9">
      <w:pPr>
        <w:ind w:left="284" w:hanging="284"/>
        <w:rPr>
          <w:lang w:val="it-IT"/>
        </w:rPr>
      </w:pPr>
      <w:r w:rsidRPr="0024493A">
        <w:rPr>
          <w:lang w:val="it-IT"/>
        </w:rPr>
        <w:t>5)</w:t>
      </w:r>
      <w:r w:rsidR="00334985" w:rsidRPr="0024493A">
        <w:rPr>
          <w:lang w:val="it-IT"/>
        </w:rPr>
        <w:t xml:space="preserve"> Minchiate. </w:t>
      </w:r>
    </w:p>
    <w:p w:rsidR="00334985" w:rsidRDefault="00334985" w:rsidP="00334985">
      <w:pPr>
        <w:rPr>
          <w:lang w:val="it-IT"/>
        </w:rPr>
      </w:pPr>
      <w:r w:rsidRPr="0024493A">
        <w:rPr>
          <w:lang w:val="it-IT"/>
        </w:rPr>
        <w:t xml:space="preserve">No </w:t>
      </w:r>
      <w:r w:rsidR="00611EE9" w:rsidRPr="00905138">
        <w:rPr>
          <w:lang w:val="it-IT"/>
        </w:rPr>
        <w:t>sign</w:t>
      </w:r>
      <w:r w:rsidRPr="0024493A">
        <w:rPr>
          <w:lang w:val="it-IT"/>
        </w:rPr>
        <w:t xml:space="preserve"> of Tarocchi, in no individual concession contract.</w:t>
      </w:r>
    </w:p>
    <w:p w:rsidR="0024493A" w:rsidRPr="0024493A" w:rsidRDefault="0024493A" w:rsidP="00334985">
      <w:pPr>
        <w:rPr>
          <w:lang w:val="it-IT"/>
        </w:rPr>
      </w:pPr>
    </w:p>
    <w:p w:rsidR="004E716E" w:rsidRPr="00B16AF4" w:rsidRDefault="00B16AF4" w:rsidP="00B16AF4">
      <w:pPr>
        <w:pStyle w:val="Heading2"/>
      </w:pPr>
      <w:r w:rsidRPr="00B16AF4">
        <w:t>Conclusion</w:t>
      </w:r>
    </w:p>
    <w:p w:rsidR="007F66EB" w:rsidRDefault="007F66EB" w:rsidP="007F66EB"/>
    <w:p w:rsidR="007F66EB" w:rsidRDefault="007F66EB" w:rsidP="007F66EB">
      <w:r>
        <w:t xml:space="preserve">I could </w:t>
      </w:r>
      <w:r w:rsidR="00611EE9">
        <w:t xml:space="preserve">not </w:t>
      </w:r>
      <w:r>
        <w:t xml:space="preserve">provide </w:t>
      </w:r>
      <w:r w:rsidR="00611EE9">
        <w:t>any</w:t>
      </w:r>
      <w:r>
        <w:t xml:space="preserve"> additional </w:t>
      </w:r>
      <w:r w:rsidR="003423D9">
        <w:t>contribution</w:t>
      </w:r>
      <w:r>
        <w:t xml:space="preserve"> on the initial question of Trionfi and Tarocchi in Florence, nor could indicate any mention of Tarocchi played under that name in Florence before </w:t>
      </w:r>
      <w:r w:rsidR="00611EE9">
        <w:t>1605</w:t>
      </w:r>
      <w:r>
        <w:t>.</w:t>
      </w:r>
    </w:p>
    <w:p w:rsidR="003423D9" w:rsidRDefault="007F66EB" w:rsidP="007F66EB">
      <w:r>
        <w:t xml:space="preserve">However, I could show that what had appeared </w:t>
      </w:r>
      <w:r w:rsidR="00611EE9">
        <w:t>to be</w:t>
      </w:r>
      <w:r>
        <w:t xml:space="preserve"> a certain proof that Tarocchi were produc</w:t>
      </w:r>
      <w:r w:rsidR="00611EE9">
        <w:t>ed in Florence in the years 1752</w:t>
      </w:r>
      <w:r>
        <w:t xml:space="preserve">-1780 was only associated with a wrong reading of the corresponding laws. </w:t>
      </w:r>
    </w:p>
    <w:p w:rsidR="007F66EB" w:rsidRPr="007F66EB" w:rsidRDefault="007F66EB" w:rsidP="007F66EB">
      <w:r>
        <w:t xml:space="preserve">In other words, </w:t>
      </w:r>
      <w:r w:rsidR="00611EE9">
        <w:t xml:space="preserve">after 1606 </w:t>
      </w:r>
      <w:r w:rsidR="00626528">
        <w:t xml:space="preserve">I am </w:t>
      </w:r>
      <w:r w:rsidR="00AE2666">
        <w:t xml:space="preserve">still </w:t>
      </w:r>
      <w:r w:rsidR="00626528">
        <w:t xml:space="preserve">finding no pack or game of </w:t>
      </w:r>
      <w:r w:rsidR="00334985">
        <w:t xml:space="preserve">Tarocchi used in Florence, </w:t>
      </w:r>
      <w:r w:rsidR="00611EE9">
        <w:t>apart from</w:t>
      </w:r>
      <w:r w:rsidR="00626528">
        <w:t xml:space="preserve"> Minchiate.</w:t>
      </w:r>
    </w:p>
    <w:p w:rsidR="004E716E" w:rsidRPr="009F79E6" w:rsidRDefault="004E716E" w:rsidP="004E716E"/>
    <w:p w:rsidR="00334985" w:rsidRPr="0024493A" w:rsidRDefault="00CF139D" w:rsidP="003A6159">
      <w:pPr>
        <w:pStyle w:val="Heading2"/>
      </w:pPr>
      <w:r w:rsidRPr="0024493A">
        <w:t>Notes</w:t>
      </w:r>
      <w:r w:rsidR="00334985" w:rsidRPr="0024493A">
        <w:t xml:space="preserve"> </w:t>
      </w:r>
    </w:p>
    <w:p w:rsidR="00B36290" w:rsidRPr="0024493A" w:rsidRDefault="00B36290" w:rsidP="00B36290"/>
    <w:p w:rsidR="00B36290" w:rsidRPr="00B36290" w:rsidRDefault="00B36290" w:rsidP="00B36290">
      <w:pPr>
        <w:ind w:left="709" w:hanging="709"/>
        <w:rPr>
          <w:szCs w:val="24"/>
        </w:rPr>
      </w:pPr>
      <w:r w:rsidRPr="00B36290">
        <w:rPr>
          <w:szCs w:val="24"/>
        </w:rPr>
        <w:t xml:space="preserve">  (1) The Playing-Card, 17 No. 1 (1988) 23-33.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(2) The Playing-Card, 27 (1998) No. 2 64-68, No. 3 111-116.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(3) </w:t>
      </w:r>
      <w:hyperlink r:id="rId8" w:history="1">
        <w:r w:rsidRPr="00B36290">
          <w:rPr>
            <w:rStyle w:val="Hyperlink"/>
            <w:sz w:val="24"/>
            <w:szCs w:val="24"/>
          </w:rPr>
          <w:t>http://trionfi.com/search-tarot-sources</w:t>
        </w:r>
      </w:hyperlink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(4) </w:t>
      </w:r>
      <w:hyperlink r:id="rId9" w:history="1">
        <w:r w:rsidRPr="00B36290">
          <w:rPr>
            <w:rStyle w:val="Hyperlink"/>
            <w:sz w:val="24"/>
            <w:szCs w:val="24"/>
          </w:rPr>
          <w:t>http://trionfi.com/evx-reflection-on-marziano-pack-of-cards</w:t>
        </w:r>
      </w:hyperlink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(5) </w:t>
      </w:r>
      <w:hyperlink r:id="rId10" w:history="1">
        <w:r w:rsidRPr="00B36290">
          <w:rPr>
            <w:rStyle w:val="Hyperlink"/>
            <w:sz w:val="24"/>
            <w:szCs w:val="24"/>
          </w:rPr>
          <w:t>http://trionfi.com/trumps-trionfi-tarots</w:t>
        </w:r>
      </w:hyperlink>
      <w:r w:rsidRPr="00B36290">
        <w:rPr>
          <w:sz w:val="24"/>
          <w:szCs w:val="24"/>
        </w:rPr>
        <w:t xml:space="preserve"> 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(6) </w:t>
      </w:r>
      <w:hyperlink r:id="rId11" w:history="1">
        <w:r w:rsidRPr="00B36290">
          <w:rPr>
            <w:rStyle w:val="Hyperlink"/>
            <w:sz w:val="24"/>
            <w:szCs w:val="24"/>
          </w:rPr>
          <w:t>http://trionfi.com/evx-reflection-on-marziano-pack-of-cards</w:t>
        </w:r>
      </w:hyperlink>
    </w:p>
    <w:p w:rsidR="00B36290" w:rsidRPr="00B36290" w:rsidRDefault="00B36290" w:rsidP="00B36290">
      <w:pPr>
        <w:ind w:left="709" w:hanging="709"/>
        <w:rPr>
          <w:szCs w:val="24"/>
        </w:rPr>
      </w:pPr>
      <w:r w:rsidRPr="00B36290">
        <w:rPr>
          <w:szCs w:val="24"/>
        </w:rPr>
        <w:t xml:space="preserve">  (7) The Playing-Card, 16 No. 3 (1988) 78-83.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(8) </w:t>
      </w:r>
      <w:hyperlink r:id="rId12" w:history="1">
        <w:r w:rsidRPr="00B36290">
          <w:rPr>
            <w:rStyle w:val="Hyperlink"/>
            <w:sz w:val="24"/>
            <w:szCs w:val="24"/>
          </w:rPr>
          <w:t>http://trionfi.com/evx-germini-tarocchi-minchiate</w:t>
        </w:r>
      </w:hyperlink>
      <w:r w:rsidRPr="00B36290">
        <w:rPr>
          <w:sz w:val="24"/>
          <w:szCs w:val="24"/>
        </w:rPr>
        <w:t xml:space="preserve"> 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  (9) </w:t>
      </w:r>
      <w:hyperlink r:id="rId13" w:history="1">
        <w:r w:rsidRPr="00B36290">
          <w:rPr>
            <w:rStyle w:val="Hyperlink"/>
            <w:sz w:val="24"/>
            <w:szCs w:val="24"/>
          </w:rPr>
          <w:t>http://trionfi.com/evx-minchiate-export-tuscany</w:t>
        </w:r>
      </w:hyperlink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(10) </w:t>
      </w:r>
      <w:hyperlink r:id="rId14" w:history="1">
        <w:r w:rsidRPr="00B36290">
          <w:rPr>
            <w:rStyle w:val="Hyperlink"/>
            <w:sz w:val="24"/>
            <w:szCs w:val="24"/>
          </w:rPr>
          <w:t>http://trionfi.com/evx-playing-card-production-tuscan-grand-duchy</w:t>
        </w:r>
      </w:hyperlink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</w:rPr>
      </w:pPr>
      <w:r w:rsidRPr="00B36290">
        <w:rPr>
          <w:sz w:val="24"/>
          <w:szCs w:val="24"/>
        </w:rPr>
        <w:t xml:space="preserve">(11) </w:t>
      </w:r>
      <w:hyperlink r:id="rId15" w:history="1">
        <w:r w:rsidRPr="00B36290">
          <w:rPr>
            <w:rStyle w:val="Hyperlink"/>
            <w:sz w:val="24"/>
            <w:szCs w:val="24"/>
          </w:rPr>
          <w:t>http://trionfi.com/evx-tuscany-playing-card-production-1815-1861</w:t>
        </w:r>
      </w:hyperlink>
    </w:p>
    <w:p w:rsidR="00B36290" w:rsidRPr="00B36290" w:rsidRDefault="00B36290" w:rsidP="00B36290">
      <w:pPr>
        <w:ind w:left="709" w:hanging="709"/>
        <w:rPr>
          <w:szCs w:val="24"/>
        </w:rPr>
      </w:pPr>
      <w:r w:rsidRPr="00B36290">
        <w:rPr>
          <w:szCs w:val="24"/>
        </w:rPr>
        <w:t>(12) The Playing-Card, 10 No. 3 (1982) 102-106.</w:t>
      </w:r>
    </w:p>
    <w:p w:rsidR="00B36290" w:rsidRPr="00B36290" w:rsidRDefault="00B36290" w:rsidP="00B36290">
      <w:pPr>
        <w:ind w:left="709" w:hanging="709"/>
        <w:rPr>
          <w:szCs w:val="24"/>
        </w:rPr>
      </w:pPr>
      <w:r w:rsidRPr="00B36290">
        <w:rPr>
          <w:szCs w:val="24"/>
        </w:rPr>
        <w:t>(13) Stuart R. Ka</w:t>
      </w:r>
      <w:r w:rsidR="00905138">
        <w:rPr>
          <w:szCs w:val="24"/>
        </w:rPr>
        <w:t xml:space="preserve">plan, </w:t>
      </w:r>
      <w:r w:rsidR="00905138" w:rsidRPr="00026EFC">
        <w:rPr>
          <w:i/>
          <w:szCs w:val="24"/>
        </w:rPr>
        <w:t xml:space="preserve">The </w:t>
      </w:r>
      <w:proofErr w:type="spellStart"/>
      <w:r w:rsidR="00905138" w:rsidRPr="00026EFC">
        <w:rPr>
          <w:i/>
          <w:szCs w:val="24"/>
        </w:rPr>
        <w:t>Encyclopedia</w:t>
      </w:r>
      <w:proofErr w:type="spellEnd"/>
      <w:r w:rsidR="00905138" w:rsidRPr="00026EFC">
        <w:rPr>
          <w:i/>
          <w:szCs w:val="24"/>
        </w:rPr>
        <w:t xml:space="preserve"> of Tarot</w:t>
      </w:r>
      <w:r w:rsidRPr="00026EFC">
        <w:rPr>
          <w:i/>
          <w:szCs w:val="24"/>
        </w:rPr>
        <w:t>. Vol. 2</w:t>
      </w:r>
      <w:r w:rsidRPr="00B36290">
        <w:rPr>
          <w:szCs w:val="24"/>
        </w:rPr>
        <w:t>. New York</w:t>
      </w:r>
      <w:r w:rsidR="00EF3945">
        <w:rPr>
          <w:szCs w:val="24"/>
        </w:rPr>
        <w:t xml:space="preserve"> 1986,</w:t>
      </w:r>
      <w:r w:rsidRPr="00B36290">
        <w:rPr>
          <w:szCs w:val="24"/>
        </w:rPr>
        <w:t xml:space="preserve"> 248.</w:t>
      </w:r>
    </w:p>
    <w:p w:rsidR="00B36290" w:rsidRPr="0024493A" w:rsidRDefault="00B36290" w:rsidP="00B36290">
      <w:pPr>
        <w:ind w:left="709" w:hanging="709"/>
        <w:rPr>
          <w:szCs w:val="24"/>
        </w:rPr>
      </w:pPr>
      <w:r w:rsidRPr="0024493A">
        <w:rPr>
          <w:szCs w:val="24"/>
        </w:rPr>
        <w:t>(14) The Playing-Card, 21 No. 4 (1993) 126-135.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  <w:lang w:val="it-IT"/>
        </w:rPr>
      </w:pPr>
      <w:r w:rsidRPr="000E193B">
        <w:rPr>
          <w:sz w:val="24"/>
          <w:szCs w:val="24"/>
          <w:lang w:val="it-IT"/>
        </w:rPr>
        <w:t xml:space="preserve">(15) Lorenzo Cantini, </w:t>
      </w:r>
      <w:r w:rsidRPr="00026EFC">
        <w:rPr>
          <w:i/>
          <w:sz w:val="24"/>
          <w:szCs w:val="24"/>
          <w:lang w:val="it-IT"/>
        </w:rPr>
        <w:t>Legislazione toscana</w:t>
      </w:r>
      <w:r w:rsidRPr="000E193B">
        <w:rPr>
          <w:sz w:val="24"/>
          <w:szCs w:val="24"/>
          <w:lang w:val="it-IT"/>
        </w:rPr>
        <w:t>. Firenze</w:t>
      </w:r>
      <w:r w:rsidR="00611EE9" w:rsidRPr="000E193B">
        <w:rPr>
          <w:sz w:val="24"/>
          <w:szCs w:val="24"/>
          <w:lang w:val="it-IT"/>
        </w:rPr>
        <w:t xml:space="preserve"> </w:t>
      </w:r>
      <w:r w:rsidR="000E193B" w:rsidRPr="000E193B">
        <w:rPr>
          <w:sz w:val="24"/>
          <w:szCs w:val="24"/>
          <w:lang w:val="it-IT"/>
        </w:rPr>
        <w:t>1807</w:t>
      </w:r>
      <w:r w:rsidRPr="000E193B">
        <w:rPr>
          <w:sz w:val="24"/>
          <w:szCs w:val="24"/>
          <w:lang w:val="it-IT"/>
        </w:rPr>
        <w:t>, Tomo XXVI</w:t>
      </w:r>
      <w:r w:rsidR="00EF3945" w:rsidRPr="000E193B">
        <w:rPr>
          <w:sz w:val="24"/>
          <w:szCs w:val="24"/>
          <w:lang w:val="it-IT"/>
        </w:rPr>
        <w:t xml:space="preserve">, </w:t>
      </w:r>
      <w:r w:rsidRPr="000E193B">
        <w:rPr>
          <w:sz w:val="24"/>
          <w:szCs w:val="24"/>
          <w:lang w:val="it-IT"/>
        </w:rPr>
        <w:t>345</w:t>
      </w:r>
      <w:r w:rsidR="00611EE9" w:rsidRPr="000E193B">
        <w:rPr>
          <w:sz w:val="24"/>
          <w:szCs w:val="24"/>
          <w:lang w:val="it-IT"/>
        </w:rPr>
        <w:t>-</w:t>
      </w:r>
      <w:r w:rsidR="003B496F">
        <w:rPr>
          <w:sz w:val="24"/>
          <w:szCs w:val="24"/>
          <w:lang w:val="it-IT"/>
        </w:rPr>
        <w:t>349</w:t>
      </w:r>
      <w:r w:rsidRPr="000E193B">
        <w:rPr>
          <w:sz w:val="24"/>
          <w:szCs w:val="24"/>
          <w:lang w:val="it-IT"/>
        </w:rPr>
        <w:t>.</w:t>
      </w:r>
    </w:p>
    <w:p w:rsidR="00B36290" w:rsidRPr="00B36290" w:rsidRDefault="00B36290" w:rsidP="00B36290">
      <w:pPr>
        <w:pStyle w:val="EndnoteText"/>
        <w:ind w:left="709" w:hanging="709"/>
        <w:rPr>
          <w:sz w:val="24"/>
          <w:szCs w:val="24"/>
          <w:lang w:val="it-IT"/>
        </w:rPr>
      </w:pPr>
      <w:r w:rsidRPr="000E193B">
        <w:rPr>
          <w:sz w:val="24"/>
          <w:szCs w:val="24"/>
          <w:lang w:val="it-IT"/>
        </w:rPr>
        <w:t xml:space="preserve">(16) Lorenzo Cantini, </w:t>
      </w:r>
      <w:r w:rsidRPr="00026EFC">
        <w:rPr>
          <w:i/>
          <w:sz w:val="24"/>
          <w:szCs w:val="24"/>
          <w:lang w:val="it-IT"/>
        </w:rPr>
        <w:t>Legislazione toscana</w:t>
      </w:r>
      <w:r w:rsidRPr="000E193B">
        <w:rPr>
          <w:sz w:val="24"/>
          <w:szCs w:val="24"/>
          <w:lang w:val="it-IT"/>
        </w:rPr>
        <w:t>. Firenze 1807, Tomo X</w:t>
      </w:r>
      <w:r w:rsidR="00EF3945" w:rsidRPr="000E193B">
        <w:rPr>
          <w:sz w:val="24"/>
          <w:szCs w:val="24"/>
          <w:lang w:val="it-IT"/>
        </w:rPr>
        <w:t>X</w:t>
      </w:r>
      <w:r w:rsidRPr="000E193B">
        <w:rPr>
          <w:sz w:val="24"/>
          <w:szCs w:val="24"/>
          <w:lang w:val="it-IT"/>
        </w:rPr>
        <w:t>VII</w:t>
      </w:r>
      <w:r w:rsidR="00EF3945" w:rsidRPr="000E193B">
        <w:rPr>
          <w:sz w:val="24"/>
          <w:szCs w:val="24"/>
          <w:lang w:val="it-IT"/>
        </w:rPr>
        <w:t xml:space="preserve">, </w:t>
      </w:r>
      <w:r w:rsidRPr="000E193B">
        <w:rPr>
          <w:sz w:val="24"/>
          <w:szCs w:val="24"/>
          <w:lang w:val="it-IT"/>
        </w:rPr>
        <w:t>116-119.</w:t>
      </w:r>
    </w:p>
    <w:p w:rsidR="00B36290" w:rsidRPr="00B36290" w:rsidRDefault="003F0B14" w:rsidP="00B36290">
      <w:pPr>
        <w:pStyle w:val="EndnoteText"/>
        <w:ind w:left="709" w:hanging="7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(17</w:t>
      </w:r>
      <w:r w:rsidR="00B36290" w:rsidRPr="00B36290">
        <w:rPr>
          <w:sz w:val="24"/>
          <w:szCs w:val="24"/>
          <w:lang w:val="it-IT"/>
        </w:rPr>
        <w:t xml:space="preserve">) </w:t>
      </w:r>
      <w:r w:rsidR="00026EFC">
        <w:rPr>
          <w:sz w:val="24"/>
          <w:szCs w:val="24"/>
          <w:lang w:val="it-IT"/>
        </w:rPr>
        <w:t>ASFI</w:t>
      </w:r>
      <w:r w:rsidR="00B36290" w:rsidRPr="00B36290">
        <w:rPr>
          <w:sz w:val="24"/>
          <w:szCs w:val="24"/>
          <w:lang w:val="it-IT"/>
        </w:rPr>
        <w:t>, Camera e Auditore Fiscale, 3013.</w:t>
      </w:r>
    </w:p>
    <w:p w:rsidR="00B36290" w:rsidRPr="00B36290" w:rsidRDefault="003F0B14" w:rsidP="00B36290">
      <w:pPr>
        <w:ind w:left="709" w:hanging="709"/>
        <w:rPr>
          <w:lang w:val="it-IT"/>
        </w:rPr>
      </w:pPr>
      <w:r>
        <w:rPr>
          <w:szCs w:val="24"/>
          <w:lang w:val="it-IT"/>
        </w:rPr>
        <w:t>(18</w:t>
      </w:r>
      <w:r w:rsidRPr="000E193B">
        <w:rPr>
          <w:szCs w:val="24"/>
          <w:lang w:val="it-IT"/>
        </w:rPr>
        <w:t xml:space="preserve">) Lorenzo Cantini, </w:t>
      </w:r>
      <w:r w:rsidRPr="00026EFC">
        <w:rPr>
          <w:i/>
          <w:szCs w:val="24"/>
          <w:lang w:val="it-IT"/>
        </w:rPr>
        <w:t>Legislazione toscana</w:t>
      </w:r>
      <w:r w:rsidRPr="000E193B">
        <w:rPr>
          <w:szCs w:val="24"/>
          <w:lang w:val="it-IT"/>
        </w:rPr>
        <w:t>. Firenze 1807, Tomo XXX, 218-221.</w:t>
      </w:r>
    </w:p>
    <w:sectPr w:rsidR="00B36290" w:rsidRPr="00B36290" w:rsidSect="00495281">
      <w:headerReference w:type="default" r:id="rId16"/>
      <w:footerReference w:type="default" r:id="rId17"/>
      <w:endnotePr>
        <w:numFmt w:val="decimal"/>
      </w:endnotePr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8D" w:rsidRDefault="00DD328D" w:rsidP="005863F8">
      <w:r>
        <w:separator/>
      </w:r>
    </w:p>
  </w:endnote>
  <w:endnote w:type="continuationSeparator" w:id="0">
    <w:p w:rsidR="00DD328D" w:rsidRDefault="00DD328D" w:rsidP="0058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EB" w:rsidRDefault="007F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8D" w:rsidRDefault="00DD328D" w:rsidP="005863F8">
      <w:r>
        <w:separator/>
      </w:r>
    </w:p>
  </w:footnote>
  <w:footnote w:type="continuationSeparator" w:id="0">
    <w:p w:rsidR="00DD328D" w:rsidRDefault="00DD328D" w:rsidP="0058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164"/>
      <w:docPartObj>
        <w:docPartGallery w:val="Page Numbers (Top of Page)"/>
        <w:docPartUnique/>
      </w:docPartObj>
    </w:sdtPr>
    <w:sdtEndPr/>
    <w:sdtContent>
      <w:p w:rsidR="007F66EB" w:rsidRDefault="00A067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6EB" w:rsidRDefault="007F6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3"/>
    <w:rsid w:val="0000123A"/>
    <w:rsid w:val="00015944"/>
    <w:rsid w:val="00026EFC"/>
    <w:rsid w:val="00031A91"/>
    <w:rsid w:val="0003265D"/>
    <w:rsid w:val="0003717C"/>
    <w:rsid w:val="00042B9D"/>
    <w:rsid w:val="0004578F"/>
    <w:rsid w:val="00060ED9"/>
    <w:rsid w:val="00064A9D"/>
    <w:rsid w:val="00074B8A"/>
    <w:rsid w:val="000D2B5B"/>
    <w:rsid w:val="000D5F94"/>
    <w:rsid w:val="000E193B"/>
    <w:rsid w:val="000F2B56"/>
    <w:rsid w:val="00120A36"/>
    <w:rsid w:val="001328EC"/>
    <w:rsid w:val="001341AA"/>
    <w:rsid w:val="0013734E"/>
    <w:rsid w:val="00140B26"/>
    <w:rsid w:val="00142DDE"/>
    <w:rsid w:val="00153389"/>
    <w:rsid w:val="00163CD7"/>
    <w:rsid w:val="00164DDA"/>
    <w:rsid w:val="00182389"/>
    <w:rsid w:val="0019070B"/>
    <w:rsid w:val="001A4256"/>
    <w:rsid w:val="001B0E87"/>
    <w:rsid w:val="001B4F54"/>
    <w:rsid w:val="001E78BA"/>
    <w:rsid w:val="002032E9"/>
    <w:rsid w:val="00213633"/>
    <w:rsid w:val="0021748B"/>
    <w:rsid w:val="00220C80"/>
    <w:rsid w:val="002346D8"/>
    <w:rsid w:val="0024493A"/>
    <w:rsid w:val="002450AB"/>
    <w:rsid w:val="00245555"/>
    <w:rsid w:val="00246EE8"/>
    <w:rsid w:val="00253935"/>
    <w:rsid w:val="00255D67"/>
    <w:rsid w:val="00256763"/>
    <w:rsid w:val="00263B5F"/>
    <w:rsid w:val="00276523"/>
    <w:rsid w:val="002851A7"/>
    <w:rsid w:val="00295EE3"/>
    <w:rsid w:val="002A2BD1"/>
    <w:rsid w:val="002B4A19"/>
    <w:rsid w:val="002B6014"/>
    <w:rsid w:val="002D522D"/>
    <w:rsid w:val="002E0358"/>
    <w:rsid w:val="002E7624"/>
    <w:rsid w:val="002F0D2D"/>
    <w:rsid w:val="002F5CEB"/>
    <w:rsid w:val="00323A6C"/>
    <w:rsid w:val="003245D4"/>
    <w:rsid w:val="00334985"/>
    <w:rsid w:val="00334A57"/>
    <w:rsid w:val="003423D9"/>
    <w:rsid w:val="0036312A"/>
    <w:rsid w:val="003656D9"/>
    <w:rsid w:val="00375070"/>
    <w:rsid w:val="00383B90"/>
    <w:rsid w:val="0039434C"/>
    <w:rsid w:val="003A6159"/>
    <w:rsid w:val="003B496F"/>
    <w:rsid w:val="003B5E6F"/>
    <w:rsid w:val="003C15E3"/>
    <w:rsid w:val="003E0972"/>
    <w:rsid w:val="003F0B14"/>
    <w:rsid w:val="00410E57"/>
    <w:rsid w:val="004238E6"/>
    <w:rsid w:val="00440A6E"/>
    <w:rsid w:val="00460B00"/>
    <w:rsid w:val="004764C5"/>
    <w:rsid w:val="00483344"/>
    <w:rsid w:val="00495281"/>
    <w:rsid w:val="004A22E2"/>
    <w:rsid w:val="004A5829"/>
    <w:rsid w:val="004B0251"/>
    <w:rsid w:val="004B7BED"/>
    <w:rsid w:val="004E0068"/>
    <w:rsid w:val="004E716E"/>
    <w:rsid w:val="004F0176"/>
    <w:rsid w:val="005033CE"/>
    <w:rsid w:val="00520D02"/>
    <w:rsid w:val="00520E4D"/>
    <w:rsid w:val="00524E39"/>
    <w:rsid w:val="005254FF"/>
    <w:rsid w:val="00526B50"/>
    <w:rsid w:val="00535FFC"/>
    <w:rsid w:val="005520C1"/>
    <w:rsid w:val="00581959"/>
    <w:rsid w:val="00582055"/>
    <w:rsid w:val="005863F8"/>
    <w:rsid w:val="005C0B72"/>
    <w:rsid w:val="005D33C1"/>
    <w:rsid w:val="005D37FE"/>
    <w:rsid w:val="005E3D72"/>
    <w:rsid w:val="006031D9"/>
    <w:rsid w:val="00603B53"/>
    <w:rsid w:val="0060447B"/>
    <w:rsid w:val="00611BCD"/>
    <w:rsid w:val="00611EE9"/>
    <w:rsid w:val="00617652"/>
    <w:rsid w:val="00626528"/>
    <w:rsid w:val="0062717B"/>
    <w:rsid w:val="00632919"/>
    <w:rsid w:val="0063531E"/>
    <w:rsid w:val="0063773A"/>
    <w:rsid w:val="006624D9"/>
    <w:rsid w:val="00667110"/>
    <w:rsid w:val="00686FF2"/>
    <w:rsid w:val="006A0ADA"/>
    <w:rsid w:val="006A691F"/>
    <w:rsid w:val="006B13EA"/>
    <w:rsid w:val="006C0508"/>
    <w:rsid w:val="006C1943"/>
    <w:rsid w:val="006C6331"/>
    <w:rsid w:val="006E47CC"/>
    <w:rsid w:val="006E70D3"/>
    <w:rsid w:val="006F3994"/>
    <w:rsid w:val="0071798F"/>
    <w:rsid w:val="00724627"/>
    <w:rsid w:val="007273F1"/>
    <w:rsid w:val="00732543"/>
    <w:rsid w:val="007340E4"/>
    <w:rsid w:val="00751B1A"/>
    <w:rsid w:val="007571E3"/>
    <w:rsid w:val="0076565C"/>
    <w:rsid w:val="00771769"/>
    <w:rsid w:val="007727B7"/>
    <w:rsid w:val="00777E69"/>
    <w:rsid w:val="00786ECB"/>
    <w:rsid w:val="00791DF4"/>
    <w:rsid w:val="0079599C"/>
    <w:rsid w:val="0079637D"/>
    <w:rsid w:val="007A19CD"/>
    <w:rsid w:val="007A5749"/>
    <w:rsid w:val="007B229D"/>
    <w:rsid w:val="007B37C5"/>
    <w:rsid w:val="007D1754"/>
    <w:rsid w:val="007F66EB"/>
    <w:rsid w:val="00803229"/>
    <w:rsid w:val="00810B5F"/>
    <w:rsid w:val="0082242F"/>
    <w:rsid w:val="0082772D"/>
    <w:rsid w:val="00833320"/>
    <w:rsid w:val="0083698D"/>
    <w:rsid w:val="00854737"/>
    <w:rsid w:val="0086191F"/>
    <w:rsid w:val="00867DED"/>
    <w:rsid w:val="00873666"/>
    <w:rsid w:val="00882D29"/>
    <w:rsid w:val="00884004"/>
    <w:rsid w:val="008A33A5"/>
    <w:rsid w:val="008B43CD"/>
    <w:rsid w:val="008C1B33"/>
    <w:rsid w:val="008C2081"/>
    <w:rsid w:val="008C535A"/>
    <w:rsid w:val="008D0D35"/>
    <w:rsid w:val="008D1EB3"/>
    <w:rsid w:val="008E59C0"/>
    <w:rsid w:val="0090499D"/>
    <w:rsid w:val="00905138"/>
    <w:rsid w:val="00906DB0"/>
    <w:rsid w:val="009124BF"/>
    <w:rsid w:val="00912C7A"/>
    <w:rsid w:val="00940178"/>
    <w:rsid w:val="00955273"/>
    <w:rsid w:val="009615CA"/>
    <w:rsid w:val="009771EA"/>
    <w:rsid w:val="00980795"/>
    <w:rsid w:val="0098091E"/>
    <w:rsid w:val="00980B25"/>
    <w:rsid w:val="00981CEA"/>
    <w:rsid w:val="00992686"/>
    <w:rsid w:val="009A062B"/>
    <w:rsid w:val="009A0A0F"/>
    <w:rsid w:val="009C4FC2"/>
    <w:rsid w:val="009D0BB1"/>
    <w:rsid w:val="009D6040"/>
    <w:rsid w:val="009F79E6"/>
    <w:rsid w:val="00A0671D"/>
    <w:rsid w:val="00A07233"/>
    <w:rsid w:val="00A1155A"/>
    <w:rsid w:val="00A16206"/>
    <w:rsid w:val="00A17D98"/>
    <w:rsid w:val="00A30FBC"/>
    <w:rsid w:val="00A35B58"/>
    <w:rsid w:val="00A40D19"/>
    <w:rsid w:val="00A42506"/>
    <w:rsid w:val="00A505F3"/>
    <w:rsid w:val="00A632E6"/>
    <w:rsid w:val="00A72249"/>
    <w:rsid w:val="00A8358D"/>
    <w:rsid w:val="00A953B1"/>
    <w:rsid w:val="00AA1F7A"/>
    <w:rsid w:val="00AA4DBE"/>
    <w:rsid w:val="00AD1705"/>
    <w:rsid w:val="00AE2666"/>
    <w:rsid w:val="00AE56B6"/>
    <w:rsid w:val="00AF10A8"/>
    <w:rsid w:val="00B03E13"/>
    <w:rsid w:val="00B12A6A"/>
    <w:rsid w:val="00B16AF4"/>
    <w:rsid w:val="00B22800"/>
    <w:rsid w:val="00B239AB"/>
    <w:rsid w:val="00B262C4"/>
    <w:rsid w:val="00B34803"/>
    <w:rsid w:val="00B36290"/>
    <w:rsid w:val="00B507A2"/>
    <w:rsid w:val="00B623C7"/>
    <w:rsid w:val="00B8039A"/>
    <w:rsid w:val="00B81268"/>
    <w:rsid w:val="00B9289F"/>
    <w:rsid w:val="00B93B67"/>
    <w:rsid w:val="00B96F28"/>
    <w:rsid w:val="00BB7D74"/>
    <w:rsid w:val="00BD3022"/>
    <w:rsid w:val="00BE7A21"/>
    <w:rsid w:val="00BF6A36"/>
    <w:rsid w:val="00C20C47"/>
    <w:rsid w:val="00C21C15"/>
    <w:rsid w:val="00C30114"/>
    <w:rsid w:val="00C35BB3"/>
    <w:rsid w:val="00C466A8"/>
    <w:rsid w:val="00C514BE"/>
    <w:rsid w:val="00C544B5"/>
    <w:rsid w:val="00C77F81"/>
    <w:rsid w:val="00C81341"/>
    <w:rsid w:val="00C86F81"/>
    <w:rsid w:val="00C94273"/>
    <w:rsid w:val="00CA70FF"/>
    <w:rsid w:val="00CD3CB3"/>
    <w:rsid w:val="00CE2AA3"/>
    <w:rsid w:val="00CF139D"/>
    <w:rsid w:val="00D021C5"/>
    <w:rsid w:val="00D0329F"/>
    <w:rsid w:val="00D063E7"/>
    <w:rsid w:val="00D41278"/>
    <w:rsid w:val="00D71E0C"/>
    <w:rsid w:val="00D71EA1"/>
    <w:rsid w:val="00D90A41"/>
    <w:rsid w:val="00DA2397"/>
    <w:rsid w:val="00DD328D"/>
    <w:rsid w:val="00DF4599"/>
    <w:rsid w:val="00E4199D"/>
    <w:rsid w:val="00E4432E"/>
    <w:rsid w:val="00E446D4"/>
    <w:rsid w:val="00E52A71"/>
    <w:rsid w:val="00E771F2"/>
    <w:rsid w:val="00E8712C"/>
    <w:rsid w:val="00EB028E"/>
    <w:rsid w:val="00EB3CA8"/>
    <w:rsid w:val="00EC42AA"/>
    <w:rsid w:val="00EC51A1"/>
    <w:rsid w:val="00ED2DD6"/>
    <w:rsid w:val="00EF1F1F"/>
    <w:rsid w:val="00EF3945"/>
    <w:rsid w:val="00EF643B"/>
    <w:rsid w:val="00EF692D"/>
    <w:rsid w:val="00F12267"/>
    <w:rsid w:val="00F216F3"/>
    <w:rsid w:val="00F21799"/>
    <w:rsid w:val="00F413F9"/>
    <w:rsid w:val="00F51667"/>
    <w:rsid w:val="00F51B74"/>
    <w:rsid w:val="00F525A8"/>
    <w:rsid w:val="00F676D3"/>
    <w:rsid w:val="00F70B8F"/>
    <w:rsid w:val="00F76BF0"/>
    <w:rsid w:val="00F86255"/>
    <w:rsid w:val="00F86718"/>
    <w:rsid w:val="00FB462F"/>
    <w:rsid w:val="00FB6586"/>
    <w:rsid w:val="00FD4ED2"/>
    <w:rsid w:val="00FD5FE2"/>
    <w:rsid w:val="00FE4067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58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F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63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F8"/>
    <w:rPr>
      <w:rFonts w:ascii="Times New Roman" w:hAnsi="Times New Roman"/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C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CB3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3C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3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3B5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070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E59C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58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3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F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63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F8"/>
    <w:rPr>
      <w:rFonts w:ascii="Times New Roman" w:hAnsi="Times New Roman"/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C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CB3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D3C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3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63B5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070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E59C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onfi.com/search-tarot-sources" TargetMode="External"/><Relationship Id="rId13" Type="http://schemas.openxmlformats.org/officeDocument/2006/relationships/hyperlink" Target="http://trionfi.com/evx-minchiate-export-tuscan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ionfi.com/evx-germini-tarocchi-minchia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onfi.com/evx-reflection-on-marziano-pack-of-c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ionfi.com/evx-tuscany-playing-card-production-1815-1861" TargetMode="External"/><Relationship Id="rId10" Type="http://schemas.openxmlformats.org/officeDocument/2006/relationships/hyperlink" Target="http://trionfi.com/trumps-trionfi-taro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ionfi.com/evx-reflection-on-marziano-pack-of-cards" TargetMode="External"/><Relationship Id="rId14" Type="http://schemas.openxmlformats.org/officeDocument/2006/relationships/hyperlink" Target="http://trionfi.com/evx-playing-card-production-tuscan-grand-duch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2DF1-25E9-4A1B-9D8D-C6E98664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3</cp:revision>
  <cp:lastPrinted>2013-06-23T05:07:00Z</cp:lastPrinted>
  <dcterms:created xsi:type="dcterms:W3CDTF">2013-11-12T16:22:00Z</dcterms:created>
  <dcterms:modified xsi:type="dcterms:W3CDTF">2013-11-12T16:32:00Z</dcterms:modified>
</cp:coreProperties>
</file>